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E5" w:rsidRDefault="003D73E5">
      <w:pPr>
        <w:pStyle w:val="BodyText"/>
        <w:rPr>
          <w:rFonts w:ascii="Times New Roman"/>
        </w:rPr>
      </w:pPr>
      <w:bookmarkStart w:id="0" w:name="_GoBack"/>
      <w:bookmarkEnd w:id="0"/>
    </w:p>
    <w:p w:rsidR="003D73E5" w:rsidRDefault="003D73E5">
      <w:pPr>
        <w:pStyle w:val="BodyText"/>
        <w:spacing w:before="3"/>
        <w:rPr>
          <w:rFonts w:ascii="Times New Roman"/>
          <w:sz w:val="26"/>
        </w:rPr>
      </w:pPr>
    </w:p>
    <w:p w:rsidR="003D73E5" w:rsidRDefault="00F73BC1">
      <w:pPr>
        <w:spacing w:before="88"/>
        <w:ind w:left="119"/>
        <w:jc w:val="both"/>
        <w:rPr>
          <w:rFonts w:ascii="Trebuchet MS"/>
          <w:b/>
        </w:rPr>
      </w:pPr>
      <w:r>
        <w:rPr>
          <w:rFonts w:ascii="Trebuchet MS"/>
          <w:b/>
          <w:w w:val="95"/>
        </w:rPr>
        <w:t>Premal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Desai</w:t>
      </w:r>
      <w:r>
        <w:rPr>
          <w:rFonts w:ascii="Trebuchet MS"/>
          <w:b/>
          <w:spacing w:val="-27"/>
          <w:w w:val="95"/>
        </w:rPr>
        <w:t xml:space="preserve"> </w:t>
      </w:r>
      <w:r>
        <w:rPr>
          <w:rFonts w:ascii="Trebuchet MS"/>
          <w:b/>
          <w:w w:val="95"/>
        </w:rPr>
        <w:t>new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Chairman</w:t>
      </w:r>
      <w:r>
        <w:rPr>
          <w:rFonts w:ascii="Trebuchet MS"/>
          <w:b/>
          <w:spacing w:val="-25"/>
          <w:w w:val="95"/>
        </w:rPr>
        <w:t xml:space="preserve"> </w:t>
      </w:r>
      <w:r>
        <w:rPr>
          <w:rFonts w:ascii="Trebuchet MS"/>
          <w:b/>
          <w:w w:val="95"/>
        </w:rPr>
        <w:t>of</w:t>
      </w:r>
      <w:r>
        <w:rPr>
          <w:rFonts w:ascii="Trebuchet MS"/>
          <w:b/>
          <w:spacing w:val="-27"/>
          <w:w w:val="95"/>
        </w:rPr>
        <w:t xml:space="preserve"> </w:t>
      </w:r>
      <w:r>
        <w:rPr>
          <w:rFonts w:ascii="Trebuchet MS"/>
          <w:b/>
          <w:w w:val="95"/>
        </w:rPr>
        <w:t>the</w:t>
      </w:r>
      <w:r>
        <w:rPr>
          <w:rFonts w:ascii="Trebuchet MS"/>
          <w:b/>
          <w:spacing w:val="-25"/>
          <w:w w:val="95"/>
        </w:rPr>
        <w:t xml:space="preserve"> </w:t>
      </w:r>
      <w:r>
        <w:rPr>
          <w:rFonts w:ascii="Trebuchet MS"/>
          <w:b/>
          <w:w w:val="95"/>
        </w:rPr>
        <w:t>Executive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Board</w:t>
      </w:r>
      <w:r>
        <w:rPr>
          <w:rFonts w:ascii="Trebuchet MS"/>
          <w:b/>
          <w:spacing w:val="-27"/>
          <w:w w:val="95"/>
        </w:rPr>
        <w:t xml:space="preserve"> </w:t>
      </w:r>
      <w:r>
        <w:rPr>
          <w:rFonts w:ascii="Trebuchet MS"/>
          <w:b/>
          <w:w w:val="95"/>
        </w:rPr>
        <w:t>of</w:t>
      </w:r>
      <w:r>
        <w:rPr>
          <w:rFonts w:ascii="Trebuchet MS"/>
          <w:b/>
          <w:spacing w:val="-26"/>
          <w:w w:val="95"/>
        </w:rPr>
        <w:t xml:space="preserve"> </w:t>
      </w:r>
      <w:proofErr w:type="spellStart"/>
      <w:r>
        <w:rPr>
          <w:rFonts w:ascii="Trebuchet MS"/>
          <w:b/>
          <w:w w:val="95"/>
        </w:rPr>
        <w:t>thyssenkrupp</w:t>
      </w:r>
      <w:proofErr w:type="spellEnd"/>
      <w:r>
        <w:rPr>
          <w:rFonts w:ascii="Trebuchet MS"/>
          <w:b/>
          <w:spacing w:val="-25"/>
          <w:w w:val="95"/>
        </w:rPr>
        <w:t xml:space="preserve"> </w:t>
      </w:r>
      <w:r>
        <w:rPr>
          <w:rFonts w:ascii="Trebuchet MS"/>
          <w:b/>
          <w:w w:val="95"/>
        </w:rPr>
        <w:t>Steel</w:t>
      </w:r>
      <w:r>
        <w:rPr>
          <w:rFonts w:ascii="Trebuchet MS"/>
          <w:b/>
          <w:spacing w:val="-27"/>
          <w:w w:val="95"/>
        </w:rPr>
        <w:t xml:space="preserve"> </w:t>
      </w:r>
      <w:r>
        <w:rPr>
          <w:rFonts w:ascii="Trebuchet MS"/>
          <w:b/>
          <w:w w:val="95"/>
        </w:rPr>
        <w:t>Europe</w:t>
      </w:r>
      <w:r>
        <w:rPr>
          <w:rFonts w:ascii="Trebuchet MS"/>
          <w:b/>
          <w:spacing w:val="-25"/>
          <w:w w:val="95"/>
        </w:rPr>
        <w:t xml:space="preserve"> </w:t>
      </w:r>
      <w:r>
        <w:rPr>
          <w:rFonts w:ascii="Trebuchet MS"/>
          <w:b/>
          <w:w w:val="95"/>
        </w:rPr>
        <w:t>AG</w:t>
      </w:r>
    </w:p>
    <w:p w:rsidR="003D73E5" w:rsidRDefault="003D73E5">
      <w:pPr>
        <w:pStyle w:val="BodyText"/>
        <w:rPr>
          <w:rFonts w:ascii="Trebuchet MS"/>
          <w:b/>
          <w:sz w:val="24"/>
        </w:rPr>
      </w:pPr>
    </w:p>
    <w:p w:rsidR="003D73E5" w:rsidRDefault="003D73E5">
      <w:pPr>
        <w:pStyle w:val="BodyText"/>
        <w:spacing w:before="3"/>
        <w:rPr>
          <w:rFonts w:ascii="Trebuchet MS"/>
          <w:b/>
          <w:sz w:val="28"/>
        </w:rPr>
      </w:pPr>
    </w:p>
    <w:p w:rsidR="003D73E5" w:rsidRDefault="00F73BC1">
      <w:pPr>
        <w:pStyle w:val="BodyText"/>
        <w:spacing w:line="292" w:lineRule="auto"/>
        <w:ind w:left="119" w:right="726"/>
        <w:jc w:val="both"/>
      </w:pPr>
      <w:r>
        <w:rPr>
          <w:w w:val="110"/>
        </w:rPr>
        <w:t xml:space="preserve">Premal Desai (50) becomes Chairman of the Executive Board of </w:t>
      </w: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 xml:space="preserve"> Steel Europe AG. In view of the cancellation of the joint venture, Andreas Goss (55) will resign from his position as Chief Executive</w:t>
      </w:r>
      <w:r>
        <w:rPr>
          <w:spacing w:val="-5"/>
          <w:w w:val="110"/>
        </w:rPr>
        <w:t xml:space="preserve"> </w:t>
      </w:r>
      <w:r>
        <w:rPr>
          <w:w w:val="110"/>
        </w:rPr>
        <w:t>Officer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mutual</w:t>
      </w:r>
      <w:r>
        <w:rPr>
          <w:spacing w:val="-5"/>
          <w:w w:val="110"/>
        </w:rPr>
        <w:t xml:space="preserve"> </w:t>
      </w:r>
      <w:r>
        <w:rPr>
          <w:w w:val="110"/>
        </w:rPr>
        <w:t>agreement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June</w:t>
      </w:r>
      <w:r>
        <w:rPr>
          <w:spacing w:val="-3"/>
          <w:w w:val="110"/>
        </w:rPr>
        <w:t xml:space="preserve"> </w:t>
      </w:r>
      <w:r>
        <w:rPr>
          <w:w w:val="110"/>
        </w:rPr>
        <w:t>15,</w:t>
      </w:r>
      <w:r>
        <w:rPr>
          <w:spacing w:val="-3"/>
          <w:w w:val="110"/>
        </w:rPr>
        <w:t xml:space="preserve"> </w:t>
      </w:r>
      <w:r>
        <w:rPr>
          <w:w w:val="110"/>
        </w:rPr>
        <w:t>2019.</w:t>
      </w:r>
      <w:r>
        <w:rPr>
          <w:spacing w:val="-2"/>
          <w:w w:val="110"/>
        </w:rPr>
        <w:t xml:space="preserve"> </w:t>
      </w:r>
      <w:r>
        <w:rPr>
          <w:w w:val="110"/>
        </w:rPr>
        <w:t>Desai</w:t>
      </w:r>
      <w:r>
        <w:rPr>
          <w:spacing w:val="-5"/>
          <w:w w:val="110"/>
        </w:rPr>
        <w:t xml:space="preserve"> </w:t>
      </w:r>
      <w:r>
        <w:rPr>
          <w:w w:val="110"/>
        </w:rPr>
        <w:t>has</w:t>
      </w:r>
      <w:r>
        <w:rPr>
          <w:spacing w:val="-4"/>
          <w:w w:val="110"/>
        </w:rPr>
        <w:t xml:space="preserve"> </w:t>
      </w:r>
      <w:r>
        <w:rPr>
          <w:w w:val="110"/>
        </w:rPr>
        <w:t>been</w:t>
      </w:r>
      <w:r>
        <w:rPr>
          <w:spacing w:val="-4"/>
          <w:w w:val="110"/>
        </w:rPr>
        <w:t xml:space="preserve"> </w:t>
      </w:r>
      <w:r>
        <w:rPr>
          <w:w w:val="110"/>
        </w:rPr>
        <w:t>Chief</w:t>
      </w:r>
      <w:r>
        <w:rPr>
          <w:spacing w:val="-6"/>
          <w:w w:val="110"/>
        </w:rPr>
        <w:t xml:space="preserve"> </w:t>
      </w:r>
      <w:r>
        <w:rPr>
          <w:w w:val="110"/>
        </w:rPr>
        <w:t>Financial</w:t>
      </w:r>
      <w:r>
        <w:rPr>
          <w:spacing w:val="-2"/>
          <w:w w:val="110"/>
        </w:rPr>
        <w:t xml:space="preserve"> </w:t>
      </w:r>
      <w:r>
        <w:rPr>
          <w:w w:val="110"/>
        </w:rPr>
        <w:t>Officer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of </w:t>
      </w:r>
      <w:proofErr w:type="spellStart"/>
      <w:r>
        <w:rPr>
          <w:w w:val="110"/>
        </w:rPr>
        <w:t>thyssenkrupp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Steel</w:t>
      </w:r>
      <w:r>
        <w:rPr>
          <w:spacing w:val="-1"/>
          <w:w w:val="110"/>
        </w:rPr>
        <w:t xml:space="preserve"> </w:t>
      </w:r>
      <w:r>
        <w:rPr>
          <w:w w:val="110"/>
        </w:rPr>
        <w:t>Europe</w:t>
      </w:r>
      <w:r>
        <w:rPr>
          <w:spacing w:val="-5"/>
          <w:w w:val="110"/>
        </w:rPr>
        <w:t xml:space="preserve"> </w:t>
      </w:r>
      <w:r>
        <w:rPr>
          <w:w w:val="110"/>
        </w:rPr>
        <w:t>AG</w:t>
      </w:r>
      <w:r>
        <w:rPr>
          <w:spacing w:val="-2"/>
          <w:w w:val="110"/>
        </w:rPr>
        <w:t xml:space="preserve"> </w:t>
      </w:r>
      <w:r>
        <w:rPr>
          <w:w w:val="110"/>
        </w:rPr>
        <w:t>since</w:t>
      </w:r>
      <w:r>
        <w:rPr>
          <w:spacing w:val="-5"/>
          <w:w w:val="110"/>
        </w:rPr>
        <w:t xml:space="preserve"> </w:t>
      </w:r>
      <w:r>
        <w:rPr>
          <w:w w:val="110"/>
        </w:rPr>
        <w:t>2015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5"/>
          <w:w w:val="110"/>
        </w:rPr>
        <w:t xml:space="preserve"> </w:t>
      </w:r>
      <w:r>
        <w:rPr>
          <w:w w:val="110"/>
        </w:rPr>
        <w:t>previously</w:t>
      </w:r>
      <w:r>
        <w:rPr>
          <w:spacing w:val="-5"/>
          <w:w w:val="110"/>
        </w:rPr>
        <w:t xml:space="preserve"> </w:t>
      </w:r>
      <w:r>
        <w:rPr>
          <w:w w:val="110"/>
        </w:rPr>
        <w:t>Head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Strategy</w:t>
      </w:r>
      <w:r>
        <w:rPr>
          <w:spacing w:val="-5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thyssenkrupp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AG.</w:t>
      </w:r>
    </w:p>
    <w:p w:rsidR="003D73E5" w:rsidRDefault="003D73E5">
      <w:pPr>
        <w:pStyle w:val="BodyText"/>
        <w:spacing w:before="6"/>
        <w:rPr>
          <w:sz w:val="24"/>
        </w:rPr>
      </w:pPr>
    </w:p>
    <w:p w:rsidR="003D73E5" w:rsidRDefault="00F73BC1">
      <w:pPr>
        <w:pStyle w:val="BodyText"/>
        <w:spacing w:before="1" w:line="292" w:lineRule="auto"/>
        <w:ind w:left="119" w:right="727"/>
        <w:jc w:val="both"/>
      </w:pPr>
      <w:r>
        <w:rPr>
          <w:w w:val="110"/>
        </w:rPr>
        <w:t xml:space="preserve">In addition to Andreas Goss, </w:t>
      </w:r>
      <w:proofErr w:type="spellStart"/>
      <w:r>
        <w:rPr>
          <w:w w:val="110"/>
        </w:rPr>
        <w:t>Heribert</w:t>
      </w:r>
      <w:proofErr w:type="spellEnd"/>
      <w:r>
        <w:rPr>
          <w:w w:val="110"/>
        </w:rPr>
        <w:t xml:space="preserve"> Fischer (57) will also leave the Steel Board on June 15. Fischer will,</w:t>
      </w:r>
      <w:r>
        <w:rPr>
          <w:spacing w:val="-3"/>
          <w:w w:val="110"/>
        </w:rPr>
        <w:t xml:space="preserve"> </w:t>
      </w:r>
      <w:r>
        <w:rPr>
          <w:w w:val="110"/>
        </w:rPr>
        <w:t>however,</w:t>
      </w:r>
      <w:r>
        <w:rPr>
          <w:spacing w:val="-3"/>
          <w:w w:val="110"/>
        </w:rPr>
        <w:t xml:space="preserve"> </w:t>
      </w:r>
      <w:r>
        <w:rPr>
          <w:w w:val="110"/>
        </w:rPr>
        <w:t>remain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thyssenkrupp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Steel</w:t>
      </w:r>
      <w:r>
        <w:rPr>
          <w:spacing w:val="-4"/>
          <w:w w:val="110"/>
        </w:rPr>
        <w:t xml:space="preserve"> </w:t>
      </w:r>
      <w:r>
        <w:rPr>
          <w:w w:val="110"/>
        </w:rPr>
        <w:t>Europe</w:t>
      </w:r>
      <w:r>
        <w:rPr>
          <w:spacing w:val="-3"/>
          <w:w w:val="110"/>
        </w:rPr>
        <w:t xml:space="preserve"> </w:t>
      </w:r>
      <w:r>
        <w:rPr>
          <w:w w:val="110"/>
        </w:rPr>
        <w:t>AG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advisory</w:t>
      </w:r>
      <w:r>
        <w:rPr>
          <w:spacing w:val="-5"/>
          <w:w w:val="110"/>
        </w:rPr>
        <w:t xml:space="preserve"> </w:t>
      </w:r>
      <w:r>
        <w:rPr>
          <w:w w:val="110"/>
        </w:rPr>
        <w:t>capacity</w:t>
      </w:r>
      <w:r>
        <w:rPr>
          <w:spacing w:val="-5"/>
          <w:w w:val="110"/>
        </w:rPr>
        <w:t xml:space="preserve"> </w:t>
      </w:r>
      <w:r>
        <w:rPr>
          <w:w w:val="110"/>
        </w:rPr>
        <w:t>at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request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 company.</w:t>
      </w:r>
    </w:p>
    <w:p w:rsidR="003D73E5" w:rsidRDefault="003D73E5">
      <w:pPr>
        <w:pStyle w:val="BodyText"/>
        <w:spacing w:before="3"/>
        <w:rPr>
          <w:sz w:val="24"/>
        </w:rPr>
      </w:pPr>
    </w:p>
    <w:p w:rsidR="003D73E5" w:rsidRDefault="00F73BC1">
      <w:pPr>
        <w:pStyle w:val="BodyText"/>
        <w:spacing w:line="292" w:lineRule="auto"/>
        <w:ind w:left="119" w:right="728"/>
        <w:jc w:val="both"/>
      </w:pPr>
      <w:r>
        <w:rPr>
          <w:w w:val="110"/>
        </w:rPr>
        <w:t xml:space="preserve">Bernhard </w:t>
      </w:r>
      <w:proofErr w:type="spellStart"/>
      <w:r>
        <w:rPr>
          <w:w w:val="110"/>
        </w:rPr>
        <w:t>Osburg</w:t>
      </w:r>
      <w:proofErr w:type="spellEnd"/>
      <w:r>
        <w:rPr>
          <w:w w:val="110"/>
        </w:rPr>
        <w:t xml:space="preserve"> (50), currently responsib</w:t>
      </w:r>
      <w:r>
        <w:rPr>
          <w:w w:val="110"/>
        </w:rPr>
        <w:t>le for sales management in the Steel segment, will join the Executive</w:t>
      </w:r>
      <w:r>
        <w:rPr>
          <w:spacing w:val="-12"/>
          <w:w w:val="110"/>
        </w:rPr>
        <w:t xml:space="preserve"> </w:t>
      </w:r>
      <w:r>
        <w:rPr>
          <w:w w:val="110"/>
        </w:rPr>
        <w:t>Board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thyssenkrupp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Steel</w:t>
      </w:r>
      <w:r>
        <w:rPr>
          <w:spacing w:val="-9"/>
          <w:w w:val="110"/>
        </w:rPr>
        <w:t xml:space="preserve"> </w:t>
      </w:r>
      <w:r>
        <w:rPr>
          <w:w w:val="110"/>
        </w:rPr>
        <w:t>Europe</w:t>
      </w:r>
      <w:r>
        <w:rPr>
          <w:spacing w:val="-9"/>
          <w:w w:val="110"/>
        </w:rPr>
        <w:t xml:space="preserve"> </w:t>
      </w:r>
      <w:r>
        <w:rPr>
          <w:w w:val="110"/>
        </w:rPr>
        <w:t>AG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Chief</w:t>
      </w:r>
      <w:r>
        <w:rPr>
          <w:spacing w:val="-12"/>
          <w:w w:val="110"/>
        </w:rPr>
        <w:t xml:space="preserve"> </w:t>
      </w:r>
      <w:r>
        <w:rPr>
          <w:w w:val="110"/>
        </w:rPr>
        <w:t>Commercial</w:t>
      </w:r>
      <w:r>
        <w:rPr>
          <w:spacing w:val="-11"/>
          <w:w w:val="110"/>
        </w:rPr>
        <w:t xml:space="preserve"> </w:t>
      </w:r>
      <w:r>
        <w:rPr>
          <w:w w:val="110"/>
        </w:rPr>
        <w:t>Officer.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function,</w:t>
      </w:r>
      <w:r>
        <w:rPr>
          <w:spacing w:val="-10"/>
          <w:w w:val="110"/>
        </w:rPr>
        <w:t xml:space="preserve"> </w:t>
      </w:r>
      <w:r>
        <w:rPr>
          <w:w w:val="110"/>
        </w:rPr>
        <w:t>he</w:t>
      </w:r>
      <w:r>
        <w:rPr>
          <w:spacing w:val="-12"/>
          <w:w w:val="110"/>
        </w:rPr>
        <w:t xml:space="preserve"> </w:t>
      </w:r>
      <w:r>
        <w:rPr>
          <w:w w:val="110"/>
        </w:rPr>
        <w:t>will be responsible for all sales and innovation activities in the steel</w:t>
      </w:r>
      <w:r>
        <w:rPr>
          <w:spacing w:val="-5"/>
          <w:w w:val="110"/>
        </w:rPr>
        <w:t xml:space="preserve"> </w:t>
      </w:r>
      <w:r>
        <w:rPr>
          <w:w w:val="110"/>
        </w:rPr>
        <w:t>business.</w:t>
      </w:r>
    </w:p>
    <w:p w:rsidR="003D73E5" w:rsidRDefault="003D73E5">
      <w:pPr>
        <w:pStyle w:val="BodyText"/>
        <w:spacing w:before="6"/>
        <w:rPr>
          <w:sz w:val="24"/>
        </w:rPr>
      </w:pPr>
    </w:p>
    <w:p w:rsidR="003D73E5" w:rsidRDefault="00F73BC1">
      <w:pPr>
        <w:pStyle w:val="BodyText"/>
        <w:spacing w:line="292" w:lineRule="auto"/>
        <w:ind w:left="119" w:right="725"/>
        <w:jc w:val="both"/>
      </w:pP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future</w:t>
      </w:r>
      <w:r>
        <w:rPr>
          <w:spacing w:val="-10"/>
          <w:w w:val="110"/>
        </w:rPr>
        <w:t xml:space="preserve"> </w:t>
      </w:r>
      <w:r>
        <w:rPr>
          <w:w w:val="110"/>
        </w:rPr>
        <w:t>Steel</w:t>
      </w:r>
      <w:r>
        <w:rPr>
          <w:spacing w:val="-9"/>
          <w:w w:val="110"/>
        </w:rPr>
        <w:t xml:space="preserve"> </w:t>
      </w:r>
      <w:r>
        <w:rPr>
          <w:w w:val="110"/>
        </w:rPr>
        <w:t>Executive</w:t>
      </w:r>
      <w:r>
        <w:rPr>
          <w:spacing w:val="-10"/>
          <w:w w:val="110"/>
        </w:rPr>
        <w:t xml:space="preserve"> </w:t>
      </w:r>
      <w:r>
        <w:rPr>
          <w:w w:val="110"/>
        </w:rPr>
        <w:t>Board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10"/>
          <w:w w:val="110"/>
        </w:rPr>
        <w:t xml:space="preserve"> </w:t>
      </w:r>
      <w:r>
        <w:rPr>
          <w:w w:val="110"/>
        </w:rPr>
        <w:t>thus</w:t>
      </w:r>
      <w:r>
        <w:rPr>
          <w:spacing w:val="-10"/>
          <w:w w:val="110"/>
        </w:rPr>
        <w:t xml:space="preserve"> </w:t>
      </w:r>
      <w:r>
        <w:rPr>
          <w:w w:val="110"/>
        </w:rPr>
        <w:t>consist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only</w:t>
      </w:r>
      <w:r>
        <w:rPr>
          <w:spacing w:val="-11"/>
          <w:w w:val="110"/>
        </w:rPr>
        <w:t xml:space="preserve"> </w:t>
      </w:r>
      <w:r>
        <w:rPr>
          <w:w w:val="110"/>
        </w:rPr>
        <w:t>four</w:t>
      </w:r>
      <w:r>
        <w:rPr>
          <w:spacing w:val="-9"/>
          <w:w w:val="110"/>
        </w:rPr>
        <w:t xml:space="preserve"> </w:t>
      </w:r>
      <w:r>
        <w:rPr>
          <w:w w:val="110"/>
        </w:rPr>
        <w:t>members.</w:t>
      </w:r>
      <w:r>
        <w:rPr>
          <w:spacing w:val="-9"/>
          <w:w w:val="110"/>
        </w:rPr>
        <w:t xml:space="preserve"> </w:t>
      </w:r>
      <w:r>
        <w:rPr>
          <w:w w:val="110"/>
        </w:rPr>
        <w:t>Aside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Desai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Osburg</w:t>
      </w:r>
      <w:proofErr w:type="spellEnd"/>
      <w:r>
        <w:rPr>
          <w:w w:val="110"/>
        </w:rPr>
        <w:t xml:space="preserve">, the Executive Board of </w:t>
      </w: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 xml:space="preserve"> Steel Europe AG will continue to i</w:t>
      </w:r>
      <w:r>
        <w:rPr>
          <w:w w:val="110"/>
        </w:rPr>
        <w:t xml:space="preserve">nclude Dr. Arnd </w:t>
      </w:r>
      <w:proofErr w:type="spellStart"/>
      <w:r>
        <w:rPr>
          <w:w w:val="110"/>
        </w:rPr>
        <w:t>Köfler</w:t>
      </w:r>
      <w:proofErr w:type="spellEnd"/>
      <w:r>
        <w:rPr>
          <w:w w:val="110"/>
        </w:rPr>
        <w:t xml:space="preserve">, responsible for production, and Dr. Sabine </w:t>
      </w:r>
      <w:proofErr w:type="spellStart"/>
      <w:r>
        <w:rPr>
          <w:w w:val="110"/>
        </w:rPr>
        <w:t>Maaßen</w:t>
      </w:r>
      <w:proofErr w:type="spellEnd"/>
      <w:r>
        <w:rPr>
          <w:w w:val="110"/>
        </w:rPr>
        <w:t>, responsible for personnel and social policy. The responsibilities of the smaller Management Board will be realigned. In the future, Premal Desai will take over the strategy and plan</w:t>
      </w:r>
      <w:r>
        <w:rPr>
          <w:w w:val="110"/>
        </w:rPr>
        <w:t>ning function as well as the financial function and will lead the Management</w:t>
      </w:r>
      <w:r>
        <w:rPr>
          <w:spacing w:val="-2"/>
          <w:w w:val="110"/>
        </w:rPr>
        <w:t xml:space="preserve"> </w:t>
      </w:r>
      <w:r>
        <w:rPr>
          <w:w w:val="110"/>
        </w:rPr>
        <w:t>Board.</w:t>
      </w:r>
    </w:p>
    <w:p w:rsidR="003D73E5" w:rsidRDefault="003D73E5">
      <w:pPr>
        <w:pStyle w:val="BodyText"/>
        <w:spacing w:before="6"/>
        <w:rPr>
          <w:sz w:val="24"/>
        </w:rPr>
      </w:pPr>
    </w:p>
    <w:p w:rsidR="003D73E5" w:rsidRDefault="00F73BC1">
      <w:pPr>
        <w:pStyle w:val="BodyText"/>
        <w:spacing w:line="292" w:lineRule="auto"/>
        <w:ind w:left="119" w:right="726"/>
        <w:jc w:val="both"/>
      </w:pPr>
      <w:r>
        <w:rPr>
          <w:w w:val="110"/>
        </w:rPr>
        <w:t>Guido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Kerkhoff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CEO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thyssenkrupp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AG:</w:t>
      </w:r>
      <w:r>
        <w:rPr>
          <w:spacing w:val="-6"/>
          <w:w w:val="110"/>
        </w:rPr>
        <w:t xml:space="preserve"> </w:t>
      </w:r>
      <w:r>
        <w:rPr>
          <w:w w:val="110"/>
        </w:rPr>
        <w:t>"We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pleased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we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-4"/>
          <w:w w:val="110"/>
        </w:rPr>
        <w:t xml:space="preserve"> </w:t>
      </w:r>
      <w:r>
        <w:rPr>
          <w:w w:val="110"/>
        </w:rPr>
        <w:t>appointed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new</w:t>
      </w:r>
      <w:r>
        <w:rPr>
          <w:spacing w:val="-4"/>
          <w:w w:val="110"/>
        </w:rPr>
        <w:t xml:space="preserve"> </w:t>
      </w:r>
      <w:r>
        <w:rPr>
          <w:w w:val="110"/>
        </w:rPr>
        <w:t>steel</w:t>
      </w:r>
      <w:r>
        <w:rPr>
          <w:spacing w:val="-7"/>
          <w:w w:val="110"/>
        </w:rPr>
        <w:t xml:space="preserve"> </w:t>
      </w:r>
      <w:r>
        <w:rPr>
          <w:w w:val="110"/>
        </w:rPr>
        <w:t>board member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w w:val="110"/>
        </w:rPr>
        <w:t>own</w:t>
      </w:r>
      <w:r>
        <w:rPr>
          <w:spacing w:val="-8"/>
          <w:w w:val="110"/>
        </w:rPr>
        <w:t xml:space="preserve"> </w:t>
      </w:r>
      <w:r>
        <w:rPr>
          <w:w w:val="110"/>
        </w:rPr>
        <w:t>ranks.</w:t>
      </w:r>
      <w:r>
        <w:rPr>
          <w:spacing w:val="-7"/>
          <w:w w:val="110"/>
        </w:rPr>
        <w:t xml:space="preserve"> </w:t>
      </w:r>
      <w:r>
        <w:rPr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w w:val="110"/>
        </w:rPr>
        <w:t>steel</w:t>
      </w:r>
      <w:r>
        <w:rPr>
          <w:spacing w:val="-9"/>
          <w:w w:val="110"/>
        </w:rPr>
        <w:t xml:space="preserve"> </w:t>
      </w:r>
      <w:r>
        <w:rPr>
          <w:w w:val="110"/>
        </w:rPr>
        <w:t>business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facing</w:t>
      </w:r>
      <w:r>
        <w:rPr>
          <w:spacing w:val="-7"/>
          <w:w w:val="110"/>
        </w:rPr>
        <w:t xml:space="preserve"> </w:t>
      </w:r>
      <w:r>
        <w:rPr>
          <w:w w:val="110"/>
        </w:rPr>
        <w:t>major</w:t>
      </w:r>
      <w:r>
        <w:rPr>
          <w:spacing w:val="-9"/>
          <w:w w:val="110"/>
        </w:rPr>
        <w:t xml:space="preserve"> </w:t>
      </w:r>
      <w:r>
        <w:rPr>
          <w:w w:val="110"/>
        </w:rPr>
        <w:t>challenges.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8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now</w:t>
      </w:r>
      <w:r>
        <w:rPr>
          <w:spacing w:val="-4"/>
          <w:w w:val="110"/>
        </w:rPr>
        <w:t xml:space="preserve"> </w:t>
      </w:r>
      <w:r>
        <w:rPr>
          <w:w w:val="110"/>
        </w:rPr>
        <w:t>put</w:t>
      </w:r>
      <w:r>
        <w:rPr>
          <w:spacing w:val="-10"/>
          <w:w w:val="110"/>
        </w:rPr>
        <w:t xml:space="preserve"> </w:t>
      </w:r>
      <w:r>
        <w:rPr>
          <w:w w:val="110"/>
        </w:rPr>
        <w:t>together a strong team that will tackle the tasks at hand quickly and develop a sustainable strategy for steel following the cancellation of the joint</w:t>
      </w:r>
      <w:r>
        <w:rPr>
          <w:spacing w:val="1"/>
          <w:w w:val="110"/>
        </w:rPr>
        <w:t xml:space="preserve"> </w:t>
      </w:r>
      <w:r>
        <w:rPr>
          <w:w w:val="110"/>
        </w:rPr>
        <w:t>venture".</w:t>
      </w:r>
    </w:p>
    <w:p w:rsidR="003D73E5" w:rsidRDefault="003D73E5">
      <w:pPr>
        <w:pStyle w:val="BodyText"/>
        <w:spacing w:before="4"/>
        <w:rPr>
          <w:sz w:val="24"/>
        </w:rPr>
      </w:pPr>
    </w:p>
    <w:p w:rsidR="003D73E5" w:rsidRDefault="00F73BC1">
      <w:pPr>
        <w:pStyle w:val="BodyText"/>
        <w:spacing w:line="292" w:lineRule="auto"/>
        <w:ind w:left="119" w:right="728"/>
        <w:jc w:val="both"/>
      </w:pPr>
      <w:r>
        <w:rPr>
          <w:w w:val="110"/>
        </w:rPr>
        <w:t xml:space="preserve">Premal Desai, future CEO of </w:t>
      </w: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 xml:space="preserve"> Steel Europe AG: "Shaping</w:t>
      </w:r>
      <w:r>
        <w:rPr>
          <w:w w:val="110"/>
        </w:rPr>
        <w:t xml:space="preserve"> the future of steel is a challenging task. There's a lot to do. We look forward to tackling this together as management team. The market environment is not easy, but we are in a strong position and have a lot of potential. We'll build on that."</w:t>
      </w:r>
    </w:p>
    <w:p w:rsidR="003D73E5" w:rsidRDefault="003D73E5">
      <w:pPr>
        <w:pStyle w:val="BodyText"/>
        <w:spacing w:before="2"/>
        <w:rPr>
          <w:sz w:val="24"/>
        </w:rPr>
      </w:pPr>
    </w:p>
    <w:p w:rsidR="003D73E5" w:rsidRDefault="00F73BC1">
      <w:pPr>
        <w:pStyle w:val="BodyText"/>
        <w:spacing w:line="292" w:lineRule="auto"/>
        <w:ind w:left="119" w:right="726"/>
        <w:jc w:val="both"/>
      </w:pPr>
      <w:r>
        <w:rPr>
          <w:w w:val="110"/>
        </w:rPr>
        <w:t>The Execu</w:t>
      </w:r>
      <w:r>
        <w:rPr>
          <w:w w:val="110"/>
        </w:rPr>
        <w:t xml:space="preserve">tive Board of </w:t>
      </w: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 xml:space="preserve"> AG thanks Andreas Goss and </w:t>
      </w:r>
      <w:proofErr w:type="spellStart"/>
      <w:r>
        <w:rPr>
          <w:w w:val="110"/>
        </w:rPr>
        <w:t>Heribert</w:t>
      </w:r>
      <w:proofErr w:type="spellEnd"/>
      <w:r>
        <w:rPr>
          <w:w w:val="110"/>
        </w:rPr>
        <w:t xml:space="preserve"> Fischer for their very successful</w:t>
      </w:r>
      <w:r>
        <w:rPr>
          <w:spacing w:val="-10"/>
          <w:w w:val="110"/>
        </w:rPr>
        <w:t xml:space="preserve"> </w:t>
      </w:r>
      <w:r>
        <w:rPr>
          <w:w w:val="110"/>
        </w:rPr>
        <w:t>work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steel</w:t>
      </w:r>
      <w:r>
        <w:rPr>
          <w:spacing w:val="-10"/>
          <w:w w:val="110"/>
        </w:rPr>
        <w:t xml:space="preserve"> </w:t>
      </w:r>
      <w:r>
        <w:rPr>
          <w:w w:val="110"/>
        </w:rPr>
        <w:t>sector.</w:t>
      </w:r>
      <w:r>
        <w:rPr>
          <w:spacing w:val="-8"/>
          <w:w w:val="110"/>
        </w:rPr>
        <w:t xml:space="preserve"> </w:t>
      </w:r>
      <w:r>
        <w:rPr>
          <w:w w:val="110"/>
        </w:rPr>
        <w:t>Both</w:t>
      </w:r>
      <w:r>
        <w:rPr>
          <w:spacing w:val="-11"/>
          <w:w w:val="110"/>
        </w:rPr>
        <w:t xml:space="preserve"> </w:t>
      </w:r>
      <w:r>
        <w:rPr>
          <w:w w:val="110"/>
        </w:rPr>
        <w:t>have</w:t>
      </w:r>
      <w:r>
        <w:rPr>
          <w:spacing w:val="-9"/>
          <w:w w:val="110"/>
        </w:rPr>
        <w:t xml:space="preserve"> </w:t>
      </w:r>
      <w:r>
        <w:rPr>
          <w:w w:val="110"/>
        </w:rPr>
        <w:t>consistently</w:t>
      </w:r>
      <w:r>
        <w:rPr>
          <w:spacing w:val="-11"/>
          <w:w w:val="110"/>
        </w:rPr>
        <w:t xml:space="preserve"> </w:t>
      </w:r>
      <w:r>
        <w:rPr>
          <w:w w:val="110"/>
        </w:rPr>
        <w:t>developed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steel</w:t>
      </w:r>
      <w:r>
        <w:rPr>
          <w:spacing w:val="-10"/>
          <w:w w:val="110"/>
        </w:rPr>
        <w:t xml:space="preserve"> </w:t>
      </w:r>
      <w:r>
        <w:rPr>
          <w:w w:val="110"/>
        </w:rPr>
        <w:t>business</w:t>
      </w:r>
      <w:r>
        <w:rPr>
          <w:spacing w:val="-9"/>
          <w:w w:val="110"/>
        </w:rPr>
        <w:t xml:space="preserve"> </w:t>
      </w:r>
      <w:r>
        <w:rPr>
          <w:w w:val="110"/>
        </w:rPr>
        <w:t>further.</w:t>
      </w:r>
      <w:r>
        <w:rPr>
          <w:spacing w:val="-9"/>
          <w:w w:val="110"/>
        </w:rPr>
        <w:t xml:space="preserve"> </w:t>
      </w:r>
      <w:r>
        <w:rPr>
          <w:w w:val="110"/>
        </w:rPr>
        <w:t>Under the leadership of Andreas Goss, Steel Europe has maintained its leading market position in Europe in recent</w:t>
      </w:r>
      <w:r>
        <w:rPr>
          <w:spacing w:val="-7"/>
          <w:w w:val="110"/>
        </w:rPr>
        <w:t xml:space="preserve"> </w:t>
      </w:r>
      <w:r>
        <w:rPr>
          <w:w w:val="110"/>
        </w:rPr>
        <w:t>years</w:t>
      </w:r>
      <w:r>
        <w:rPr>
          <w:spacing w:val="-5"/>
          <w:w w:val="110"/>
        </w:rPr>
        <w:t xml:space="preserve"> </w:t>
      </w:r>
      <w:r>
        <w:rPr>
          <w:w w:val="110"/>
        </w:rPr>
        <w:t>even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extremely</w:t>
      </w:r>
      <w:r>
        <w:rPr>
          <w:spacing w:val="-6"/>
          <w:w w:val="110"/>
        </w:rPr>
        <w:t xml:space="preserve"> </w:t>
      </w:r>
      <w:r>
        <w:rPr>
          <w:w w:val="110"/>
        </w:rPr>
        <w:t>challenging</w:t>
      </w:r>
      <w:r>
        <w:rPr>
          <w:spacing w:val="-4"/>
          <w:w w:val="110"/>
        </w:rPr>
        <w:t xml:space="preserve"> </w:t>
      </w:r>
      <w:r>
        <w:rPr>
          <w:w w:val="110"/>
        </w:rPr>
        <w:t>environment.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Executive</w:t>
      </w:r>
      <w:r>
        <w:rPr>
          <w:spacing w:val="-5"/>
          <w:w w:val="110"/>
        </w:rPr>
        <w:t xml:space="preserve"> </w:t>
      </w:r>
      <w:r>
        <w:rPr>
          <w:w w:val="110"/>
        </w:rPr>
        <w:t>Board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thyssenkrupp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AG wishes Andreas Goss and </w:t>
      </w:r>
      <w:proofErr w:type="spellStart"/>
      <w:r>
        <w:rPr>
          <w:w w:val="110"/>
        </w:rPr>
        <w:t>Heribert</w:t>
      </w:r>
      <w:proofErr w:type="spellEnd"/>
      <w:r>
        <w:rPr>
          <w:w w:val="110"/>
        </w:rPr>
        <w:t xml:space="preserve"> Fischer great succ</w:t>
      </w:r>
      <w:r>
        <w:rPr>
          <w:w w:val="110"/>
        </w:rPr>
        <w:t>ess for the future and all the best</w:t>
      </w:r>
      <w:r>
        <w:rPr>
          <w:spacing w:val="-36"/>
          <w:w w:val="110"/>
        </w:rPr>
        <w:t xml:space="preserve"> </w:t>
      </w:r>
      <w:r>
        <w:rPr>
          <w:w w:val="110"/>
        </w:rPr>
        <w:t>personally.</w:t>
      </w:r>
    </w:p>
    <w:p w:rsidR="003D73E5" w:rsidRDefault="003D73E5">
      <w:pPr>
        <w:spacing w:line="292" w:lineRule="auto"/>
        <w:jc w:val="both"/>
        <w:sectPr w:rsidR="003D73E5">
          <w:headerReference w:type="default" r:id="rId6"/>
          <w:footerReference w:type="default" r:id="rId7"/>
          <w:type w:val="continuous"/>
          <w:pgSz w:w="11910" w:h="16840"/>
          <w:pgMar w:top="3440" w:right="1680" w:bottom="1040" w:left="1280" w:header="862" w:footer="857" w:gutter="0"/>
          <w:cols w:space="720"/>
        </w:sectPr>
      </w:pPr>
    </w:p>
    <w:p w:rsidR="003D73E5" w:rsidRDefault="003D73E5">
      <w:pPr>
        <w:pStyle w:val="BodyText"/>
      </w:pPr>
    </w:p>
    <w:p w:rsidR="003D73E5" w:rsidRDefault="003D73E5">
      <w:pPr>
        <w:pStyle w:val="BodyText"/>
        <w:rPr>
          <w:sz w:val="23"/>
        </w:rPr>
      </w:pPr>
    </w:p>
    <w:p w:rsidR="003D73E5" w:rsidRDefault="00F73BC1">
      <w:pPr>
        <w:pStyle w:val="BodyText"/>
        <w:spacing w:line="292" w:lineRule="auto"/>
        <w:ind w:left="119" w:right="726"/>
        <w:jc w:val="both"/>
      </w:pPr>
      <w:r>
        <w:rPr>
          <w:w w:val="110"/>
        </w:rPr>
        <w:t>Andreas</w:t>
      </w:r>
      <w:r>
        <w:rPr>
          <w:spacing w:val="-12"/>
          <w:w w:val="110"/>
        </w:rPr>
        <w:t xml:space="preserve"> </w:t>
      </w:r>
      <w:r>
        <w:rPr>
          <w:w w:val="110"/>
        </w:rPr>
        <w:t>Goss</w:t>
      </w:r>
      <w:r>
        <w:rPr>
          <w:spacing w:val="-11"/>
          <w:w w:val="110"/>
        </w:rPr>
        <w:t xml:space="preserve"> </w:t>
      </w:r>
      <w:r>
        <w:rPr>
          <w:w w:val="110"/>
        </w:rPr>
        <w:t>joined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Executive</w:t>
      </w:r>
      <w:r>
        <w:rPr>
          <w:spacing w:val="-12"/>
          <w:w w:val="110"/>
        </w:rPr>
        <w:t xml:space="preserve"> </w:t>
      </w:r>
      <w:r>
        <w:rPr>
          <w:w w:val="110"/>
        </w:rPr>
        <w:t>Board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thyssenkrupp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Steel</w:t>
      </w:r>
      <w:r>
        <w:rPr>
          <w:spacing w:val="-12"/>
          <w:w w:val="110"/>
        </w:rPr>
        <w:t xml:space="preserve"> </w:t>
      </w:r>
      <w:r>
        <w:rPr>
          <w:w w:val="110"/>
        </w:rPr>
        <w:t>Europe</w:t>
      </w:r>
      <w:r>
        <w:rPr>
          <w:spacing w:val="-11"/>
          <w:w w:val="110"/>
        </w:rPr>
        <w:t xml:space="preserve"> </w:t>
      </w:r>
      <w:r>
        <w:rPr>
          <w:w w:val="110"/>
        </w:rPr>
        <w:t>AG</w:t>
      </w:r>
      <w:r>
        <w:rPr>
          <w:spacing w:val="-13"/>
          <w:w w:val="110"/>
        </w:rPr>
        <w:t xml:space="preserve"> </w:t>
      </w:r>
      <w:r>
        <w:rPr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w w:val="110"/>
        </w:rPr>
        <w:t>October</w:t>
      </w:r>
      <w:r>
        <w:rPr>
          <w:spacing w:val="-5"/>
          <w:w w:val="110"/>
        </w:rPr>
        <w:t xml:space="preserve"> </w:t>
      </w:r>
      <w:r>
        <w:rPr>
          <w:w w:val="110"/>
        </w:rPr>
        <w:t>1,</w:t>
      </w:r>
      <w:r>
        <w:rPr>
          <w:spacing w:val="-7"/>
          <w:w w:val="110"/>
        </w:rPr>
        <w:t xml:space="preserve"> </w:t>
      </w:r>
      <w:r>
        <w:rPr>
          <w:w w:val="110"/>
        </w:rPr>
        <w:t>2012.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Since January 1, 2013, he has been Chairman of the Management Board and CEO since June 1, 2014. Prior to joining </w:t>
      </w: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>, Goss held various management positions at Siemens, most recently as Chief Executive Officer of Siemens UK and North West</w:t>
      </w:r>
      <w:r>
        <w:rPr>
          <w:spacing w:val="-19"/>
          <w:w w:val="110"/>
        </w:rPr>
        <w:t xml:space="preserve"> </w:t>
      </w:r>
      <w:r>
        <w:rPr>
          <w:w w:val="110"/>
        </w:rPr>
        <w:t>Europe.</w:t>
      </w:r>
    </w:p>
    <w:p w:rsidR="003D73E5" w:rsidRDefault="003D73E5">
      <w:pPr>
        <w:pStyle w:val="BodyText"/>
        <w:spacing w:before="7"/>
        <w:rPr>
          <w:sz w:val="24"/>
        </w:rPr>
      </w:pPr>
    </w:p>
    <w:p w:rsidR="003D73E5" w:rsidRDefault="00F73BC1">
      <w:pPr>
        <w:pStyle w:val="BodyText"/>
        <w:spacing w:line="292" w:lineRule="auto"/>
        <w:ind w:left="119" w:right="727"/>
        <w:jc w:val="both"/>
      </w:pPr>
      <w:proofErr w:type="spellStart"/>
      <w:r>
        <w:rPr>
          <w:w w:val="110"/>
        </w:rPr>
        <w:t>Heribert</w:t>
      </w:r>
      <w:proofErr w:type="spellEnd"/>
      <w:r>
        <w:rPr>
          <w:w w:val="110"/>
        </w:rPr>
        <w:t xml:space="preserve"> Fischer, with the company since 1990, has been a member of the Executive Board of </w:t>
      </w: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 xml:space="preserve"> Steel Europe AG since October 1, 2011. From 2013 to 2016, he was responsible for sales and since 2016 for production in the rolling and coating areas a</w:t>
      </w:r>
      <w:r>
        <w:rPr>
          <w:w w:val="110"/>
        </w:rPr>
        <w:t xml:space="preserve">s well as for innovation and logistics. Previously Fischer was responsible for various production areas at </w:t>
      </w: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 xml:space="preserve"> Steel Europe AG.</w:t>
      </w:r>
    </w:p>
    <w:p w:rsidR="003D73E5" w:rsidRDefault="003D73E5">
      <w:pPr>
        <w:pStyle w:val="BodyText"/>
        <w:rPr>
          <w:sz w:val="22"/>
        </w:rPr>
      </w:pPr>
    </w:p>
    <w:p w:rsidR="003D73E5" w:rsidRDefault="003D73E5">
      <w:pPr>
        <w:pStyle w:val="BodyText"/>
        <w:rPr>
          <w:sz w:val="22"/>
        </w:rPr>
      </w:pPr>
    </w:p>
    <w:p w:rsidR="003D73E5" w:rsidRDefault="003D73E5">
      <w:pPr>
        <w:pStyle w:val="BodyText"/>
        <w:rPr>
          <w:sz w:val="22"/>
        </w:rPr>
      </w:pPr>
    </w:p>
    <w:p w:rsidR="003D73E5" w:rsidRDefault="003D73E5">
      <w:pPr>
        <w:pStyle w:val="BodyText"/>
        <w:spacing w:before="6"/>
        <w:rPr>
          <w:sz w:val="31"/>
        </w:rPr>
      </w:pPr>
    </w:p>
    <w:p w:rsidR="003D73E5" w:rsidRDefault="00F73BC1">
      <w:pPr>
        <w:ind w:left="119"/>
        <w:jc w:val="both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Contact person for media</w:t>
      </w:r>
    </w:p>
    <w:p w:rsidR="003D73E5" w:rsidRDefault="00F73BC1">
      <w:pPr>
        <w:pStyle w:val="BodyText"/>
        <w:spacing w:before="47"/>
        <w:ind w:left="119"/>
      </w:pPr>
      <w:proofErr w:type="spellStart"/>
      <w:r>
        <w:rPr>
          <w:w w:val="110"/>
        </w:rPr>
        <w:t>thyssenkrupp</w:t>
      </w:r>
      <w:proofErr w:type="spellEnd"/>
      <w:r>
        <w:rPr>
          <w:w w:val="110"/>
        </w:rPr>
        <w:t xml:space="preserve"> AG Communications</w:t>
      </w:r>
    </w:p>
    <w:p w:rsidR="003D73E5" w:rsidRDefault="00F73BC1">
      <w:pPr>
        <w:pStyle w:val="BodyText"/>
        <w:tabs>
          <w:tab w:val="left" w:pos="4366"/>
        </w:tabs>
        <w:spacing w:before="51"/>
        <w:ind w:left="119"/>
      </w:pPr>
      <w:r>
        <w:rPr>
          <w:w w:val="110"/>
        </w:rPr>
        <w:t>Peter</w:t>
      </w:r>
      <w:r>
        <w:rPr>
          <w:spacing w:val="-9"/>
          <w:w w:val="110"/>
        </w:rPr>
        <w:t xml:space="preserve"> </w:t>
      </w:r>
      <w:r>
        <w:rPr>
          <w:w w:val="110"/>
        </w:rPr>
        <w:t>Sauer</w:t>
      </w:r>
      <w:r>
        <w:rPr>
          <w:w w:val="110"/>
        </w:rPr>
        <w:tab/>
        <w:t>Tim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Proll-Gerwe</w:t>
      </w:r>
      <w:proofErr w:type="spellEnd"/>
    </w:p>
    <w:p w:rsidR="003D73E5" w:rsidRDefault="00F73BC1">
      <w:pPr>
        <w:pStyle w:val="BodyText"/>
        <w:tabs>
          <w:tab w:val="left" w:pos="4366"/>
        </w:tabs>
        <w:spacing w:before="51"/>
        <w:ind w:left="118"/>
      </w:pPr>
      <w:proofErr w:type="spellStart"/>
      <w:r>
        <w:rPr>
          <w:w w:val="115"/>
        </w:rPr>
        <w:t>Telefon</w:t>
      </w:r>
      <w:proofErr w:type="spellEnd"/>
      <w:r>
        <w:rPr>
          <w:w w:val="115"/>
        </w:rPr>
        <w:t>: +49</w:t>
      </w:r>
      <w:r>
        <w:rPr>
          <w:spacing w:val="-18"/>
          <w:w w:val="115"/>
        </w:rPr>
        <w:t xml:space="preserve"> </w:t>
      </w:r>
      <w:r>
        <w:rPr>
          <w:w w:val="115"/>
        </w:rPr>
        <w:t>(201)</w:t>
      </w:r>
      <w:r>
        <w:rPr>
          <w:spacing w:val="-10"/>
          <w:w w:val="115"/>
        </w:rPr>
        <w:t xml:space="preserve"> </w:t>
      </w:r>
      <w:r>
        <w:rPr>
          <w:w w:val="115"/>
        </w:rPr>
        <w:t>844-536791</w:t>
      </w:r>
      <w:r>
        <w:rPr>
          <w:w w:val="115"/>
        </w:rPr>
        <w:tab/>
        <w:t>+</w:t>
      </w:r>
      <w:r>
        <w:rPr>
          <w:w w:val="115"/>
        </w:rPr>
        <w:t>49 (201)</w:t>
      </w:r>
      <w:r>
        <w:rPr>
          <w:spacing w:val="-5"/>
          <w:w w:val="115"/>
        </w:rPr>
        <w:t xml:space="preserve"> </w:t>
      </w:r>
      <w:r>
        <w:rPr>
          <w:w w:val="115"/>
        </w:rPr>
        <w:t>844-537961</w:t>
      </w:r>
    </w:p>
    <w:p w:rsidR="003D73E5" w:rsidRDefault="00F73BC1">
      <w:pPr>
        <w:pStyle w:val="BodyText"/>
        <w:spacing w:before="49"/>
        <w:ind w:left="118"/>
      </w:pPr>
      <w:r>
        <w:rPr>
          <w:w w:val="110"/>
        </w:rPr>
        <w:t xml:space="preserve">mailto: </w:t>
      </w:r>
      <w:hyperlink r:id="rId8">
        <w:r>
          <w:rPr>
            <w:color w:val="0563C1"/>
            <w:w w:val="110"/>
            <w:u w:val="single" w:color="0563C1"/>
          </w:rPr>
          <w:t>press@thyssenkrupp.com</w:t>
        </w:r>
      </w:hyperlink>
    </w:p>
    <w:p w:rsidR="003D73E5" w:rsidRDefault="003D73E5">
      <w:pPr>
        <w:pStyle w:val="BodyText"/>
      </w:pPr>
    </w:p>
    <w:p w:rsidR="003D73E5" w:rsidRDefault="003D73E5">
      <w:pPr>
        <w:pStyle w:val="BodyText"/>
      </w:pPr>
    </w:p>
    <w:p w:rsidR="003D73E5" w:rsidRDefault="003D73E5">
      <w:pPr>
        <w:pStyle w:val="BodyText"/>
      </w:pPr>
    </w:p>
    <w:p w:rsidR="003D73E5" w:rsidRDefault="003D73E5">
      <w:pPr>
        <w:pStyle w:val="BodyText"/>
      </w:pPr>
    </w:p>
    <w:p w:rsidR="003D73E5" w:rsidRDefault="003D73E5">
      <w:pPr>
        <w:pStyle w:val="BodyText"/>
        <w:spacing w:before="2"/>
        <w:rPr>
          <w:sz w:val="22"/>
        </w:rPr>
      </w:pPr>
    </w:p>
    <w:p w:rsidR="003D73E5" w:rsidRDefault="00F73BC1">
      <w:pPr>
        <w:pStyle w:val="BodyText"/>
        <w:spacing w:line="290" w:lineRule="auto"/>
        <w:ind w:left="119" w:right="6612"/>
      </w:pPr>
      <w:hyperlink r:id="rId9">
        <w:r>
          <w:rPr>
            <w:color w:val="0563C1"/>
            <w:w w:val="110"/>
            <w:u w:val="single" w:color="0563C1"/>
          </w:rPr>
          <w:t>www.thyssenkrupp.com/</w:t>
        </w:r>
      </w:hyperlink>
      <w:r>
        <w:rPr>
          <w:color w:val="0563C1"/>
          <w:w w:val="110"/>
          <w:u w:val="single" w:color="0563C1"/>
        </w:rPr>
        <w:t>en</w:t>
      </w:r>
      <w:r>
        <w:rPr>
          <w:color w:val="0563C1"/>
          <w:w w:val="110"/>
        </w:rPr>
        <w:t xml:space="preserve"> </w:t>
      </w:r>
      <w:r>
        <w:rPr>
          <w:w w:val="110"/>
        </w:rPr>
        <w:t xml:space="preserve">Twitter: </w:t>
      </w:r>
      <w:hyperlink r:id="rId10">
        <w:r>
          <w:rPr>
            <w:color w:val="0563C1"/>
            <w:w w:val="110"/>
            <w:u w:val="single" w:color="0563C1"/>
          </w:rPr>
          <w:t>@</w:t>
        </w:r>
        <w:proofErr w:type="spellStart"/>
        <w:r>
          <w:rPr>
            <w:color w:val="0563C1"/>
            <w:w w:val="110"/>
            <w:u w:val="single" w:color="0563C1"/>
          </w:rPr>
          <w:t>thyssenkrupp_en</w:t>
        </w:r>
        <w:proofErr w:type="spellEnd"/>
      </w:hyperlink>
    </w:p>
    <w:p w:rsidR="003D73E5" w:rsidRDefault="00F73BC1">
      <w:pPr>
        <w:pStyle w:val="BodyText"/>
        <w:spacing w:before="3"/>
        <w:ind w:left="119"/>
      </w:pPr>
      <w:r>
        <w:rPr>
          <w:w w:val="110"/>
        </w:rPr>
        <w:t xml:space="preserve">Company blog: </w:t>
      </w:r>
      <w:hyperlink r:id="rId11">
        <w:r>
          <w:rPr>
            <w:color w:val="0563C1"/>
            <w:w w:val="110"/>
            <w:u w:val="single" w:color="0563C1"/>
          </w:rPr>
          <w:t>https://engineered.thyssenkrupp.com</w:t>
        </w:r>
      </w:hyperlink>
    </w:p>
    <w:sectPr w:rsidR="003D73E5">
      <w:headerReference w:type="default" r:id="rId12"/>
      <w:pgSz w:w="11910" w:h="16840"/>
      <w:pgMar w:top="3420" w:right="1680" w:bottom="1040" w:left="1280" w:header="862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C1" w:rsidRDefault="00F73BC1">
      <w:r>
        <w:separator/>
      </w:r>
    </w:p>
  </w:endnote>
  <w:endnote w:type="continuationSeparator" w:id="0">
    <w:p w:rsidR="00F73BC1" w:rsidRDefault="00F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E5" w:rsidRDefault="00F73BC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35pt;margin-top:788.05pt;width:437.95pt;height:29.95pt;z-index:-251759616;mso-position-horizontal-relative:page;mso-position-vertical-relative:page" filled="f" stroked="f">
          <v:textbox inset="0,0,0,0">
            <w:txbxContent>
              <w:p w:rsidR="003D73E5" w:rsidRDefault="00F73BC1">
                <w:pPr>
                  <w:spacing w:before="14" w:line="300" w:lineRule="auto"/>
                  <w:ind w:left="20" w:right="30"/>
                  <w:rPr>
                    <w:sz w:val="14"/>
                  </w:rPr>
                </w:pPr>
                <w:proofErr w:type="spellStart"/>
                <w:r>
                  <w:rPr>
                    <w:w w:val="110"/>
                    <w:sz w:val="14"/>
                  </w:rPr>
                  <w:t>thyssenkrupp</w:t>
                </w:r>
                <w:proofErr w:type="spellEnd"/>
                <w:r>
                  <w:rPr>
                    <w:w w:val="110"/>
                    <w:sz w:val="14"/>
                  </w:rPr>
                  <w:t xml:space="preserve"> AG, </w:t>
                </w:r>
                <w:proofErr w:type="spellStart"/>
                <w:r>
                  <w:rPr>
                    <w:w w:val="110"/>
                    <w:sz w:val="14"/>
                  </w:rPr>
                  <w:t>thyssenkrupp</w:t>
                </w:r>
                <w:proofErr w:type="spellEnd"/>
                <w:r>
                  <w:rPr>
                    <w:w w:val="110"/>
                    <w:sz w:val="14"/>
                  </w:rPr>
                  <w:t xml:space="preserve"> Allee 1, 45143 Essen, Germany, P: +49 201 844</w:t>
                </w:r>
                <w:r>
                  <w:rPr>
                    <w:rFonts w:ascii="Arial" w:hAnsi="Arial"/>
                    <w:w w:val="110"/>
                    <w:sz w:val="14"/>
                  </w:rPr>
                  <w:t> </w:t>
                </w:r>
                <w:r>
                  <w:rPr>
                    <w:w w:val="110"/>
                    <w:sz w:val="14"/>
                  </w:rPr>
                  <w:t>-</w:t>
                </w:r>
                <w:r>
                  <w:rPr>
                    <w:rFonts w:ascii="Arial" w:hAnsi="Arial"/>
                    <w:w w:val="110"/>
                    <w:sz w:val="14"/>
                  </w:rPr>
                  <w:t> </w:t>
                </w:r>
                <w:r>
                  <w:rPr>
                    <w:w w:val="110"/>
                    <w:sz w:val="14"/>
                  </w:rPr>
                  <w:t xml:space="preserve">536236, </w:t>
                </w:r>
                <w:hyperlink r:id="rId1">
                  <w:r>
                    <w:rPr>
                      <w:w w:val="110"/>
                      <w:sz w:val="14"/>
                    </w:rPr>
                    <w:t xml:space="preserve">press@thyssenkrupp.com, </w:t>
                  </w:r>
                </w:hyperlink>
                <w:hyperlink r:id="rId2">
                  <w:r>
                    <w:rPr>
                      <w:w w:val="110"/>
                      <w:sz w:val="14"/>
                    </w:rPr>
                    <w:t>www.thyssenkrupp.com</w:t>
                  </w:r>
                </w:hyperlink>
                <w:r>
                  <w:rPr>
                    <w:w w:val="110"/>
                    <w:sz w:val="14"/>
                  </w:rPr>
                  <w:t xml:space="preserve"> Chairwoman</w:t>
                </w:r>
                <w:r>
                  <w:rPr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of</w:t>
                </w:r>
                <w:r>
                  <w:rPr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the</w:t>
                </w:r>
                <w:r>
                  <w:rPr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Supervisory</w:t>
                </w:r>
                <w:r>
                  <w:rPr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Board:</w:t>
                </w:r>
                <w:r>
                  <w:rPr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Martina</w:t>
                </w:r>
                <w:r>
                  <w:rPr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Merz,</w:t>
                </w:r>
                <w:r>
                  <w:rPr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Executive</w:t>
                </w:r>
                <w:r>
                  <w:rPr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Board:</w:t>
                </w:r>
                <w:r>
                  <w:rPr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Guido</w:t>
                </w:r>
                <w:r>
                  <w:rPr>
                    <w:spacing w:val="-8"/>
                    <w:w w:val="110"/>
                    <w:sz w:val="14"/>
                  </w:rPr>
                  <w:t xml:space="preserve"> </w:t>
                </w:r>
                <w:proofErr w:type="spellStart"/>
                <w:r>
                  <w:rPr>
                    <w:w w:val="110"/>
                    <w:sz w:val="14"/>
                  </w:rPr>
                  <w:t>Kerkhoff</w:t>
                </w:r>
                <w:proofErr w:type="spellEnd"/>
                <w:r>
                  <w:rPr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(Chairman)</w:t>
                </w:r>
                <w:r>
                  <w:rPr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spacing w:val="-3"/>
                    <w:w w:val="110"/>
                    <w:sz w:val="14"/>
                  </w:rPr>
                  <w:t>Oliver</w:t>
                </w:r>
                <w:r>
                  <w:rPr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Burkhard,</w:t>
                </w:r>
                <w:r>
                  <w:rPr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Johannes</w:t>
                </w:r>
                <w:r>
                  <w:rPr>
                    <w:spacing w:val="-10"/>
                    <w:w w:val="110"/>
                    <w:sz w:val="14"/>
                  </w:rPr>
                  <w:t xml:space="preserve"> </w:t>
                </w:r>
                <w:proofErr w:type="spellStart"/>
                <w:r>
                  <w:rPr>
                    <w:w w:val="110"/>
                    <w:sz w:val="14"/>
                  </w:rPr>
                  <w:t>Dietsch</w:t>
                </w:r>
                <w:proofErr w:type="spellEnd"/>
                <w:r>
                  <w:rPr>
                    <w:w w:val="110"/>
                    <w:sz w:val="14"/>
                  </w:rPr>
                  <w:t>,</w:t>
                </w:r>
                <w:r>
                  <w:rPr>
                    <w:spacing w:val="-11"/>
                    <w:w w:val="110"/>
                    <w:sz w:val="14"/>
                  </w:rPr>
                  <w:t xml:space="preserve"> </w:t>
                </w:r>
                <w:r>
                  <w:rPr>
                    <w:spacing w:val="-3"/>
                    <w:w w:val="110"/>
                    <w:sz w:val="14"/>
                  </w:rPr>
                  <w:t>Dr.</w:t>
                </w:r>
                <w:r>
                  <w:rPr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Donatus</w:t>
                </w:r>
                <w:r>
                  <w:rPr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Kaufmann Registered office: Duisburg and Essen, Courts of register: Duisburg HR B 9092, Essen HR B</w:t>
                </w:r>
                <w:r>
                  <w:rPr>
                    <w:spacing w:val="6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15364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C1" w:rsidRDefault="00F73BC1">
      <w:r>
        <w:separator/>
      </w:r>
    </w:p>
  </w:footnote>
  <w:footnote w:type="continuationSeparator" w:id="0">
    <w:p w:rsidR="00F73BC1" w:rsidRDefault="00F7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E5" w:rsidRDefault="00F73BC1">
    <w:pPr>
      <w:pStyle w:val="BodyText"/>
      <w:spacing w:line="14" w:lineRule="auto"/>
    </w:pPr>
    <w:r>
      <w:pict>
        <v:shape id="_x0000_s2054" style="position:absolute;margin-left:472.95pt;margin-top:43.1pt;width:48.75pt;height:44pt;z-index:-251763712;mso-position-horizontal-relative:page;mso-position-vertical-relative:page" coordorigin="9459,862" coordsize="975,880" o:spt="100" adj="0,,0" path="m9763,1742r-70,-8l9629,1710r-56,-36l9526,1628r-36,-56l9467,1508r-8,-70l9468,1366r24,-66l9531,1242r50,-46l9642,1160r8,-68l9674,1028r36,-56l9757,926r56,-34l9876,868r69,-6l10014,868r64,24l9945,892r-70,8l9812,926r-54,40l9715,1018r-30,62l9672,1148r181,l9861,1150r30,12l9894,1164r-131,l9716,1168r-44,12l9674,1192r-31,l9580,1234r-48,58l9501,1360r-11,78l9499,1510r27,64l9567,1630r54,42l9652,1672r-3,16l9676,1698r57,12l9763,1712r129,l9861,1726r-48,12l9763,1742xm10248,1148r-29,l10206,1080r-30,-62l10133,966r-54,-40l10016,900r-71,-8l10078,892r56,34l10181,972r36,56l10241,1092r7,56xm9834,1136r-36,l9834,1082r36,-38l9908,1020r37,-8l9984,1020r37,24l9945,1044r-30,6l9886,1070r-29,32l9834,1136xm10006,1194r-61,l9972,1178r28,-16l10030,1150r31,-8l10034,1102r-28,-32l9976,1050r-31,-6l10021,1044r37,38l10094,1136r69,l10197,1142r22,6l10248,1148r1,12l10256,1164r-135,l10116,1166r-7,l10111,1170r-33,l10049,1176r-28,10l10006,1194xm9853,1148r-181,l9694,1142r45,-8l9786,1134r12,2l9834,1136r-4,6l9853,1148xm10163,1136r-69,l10116,1134r36,l10163,1136xm9751,1316r-33,l9734,1274r15,-40l9765,1198r16,-32l9776,1166r-7,-2l9894,1164r11,6l9813,1170r-19,40l9775,1252r-18,46l9751,1316xm10209,1316r-36,l10191,1286r14,-34l10214,1218r5,-38l10175,1168r-47,-4l10256,1164r47,28l10248,1192r-7,44l10228,1278r-19,38xm9857,1410r-32,l9835,1354r21,-52l9885,1256r36,-40l9897,1200r-26,-14l9843,1176r-30,-6l9905,1170r14,8l9945,1194r61,l9994,1200r-25,16l9986,1234r-41,l9910,1272r-28,46l9863,1368r-6,42xm10123,1410r-57,l10089,1398r23,-16l10132,1364r19,-18l10134,1298r-18,-46l10097,1210r-19,-40l10111,1170r15,28l10142,1234r15,40l10173,1316r36,l10185,1350r1,4l10187,1354r,2l10194,1378r-32,l10141,1398r-18,12xm9652,1672r-31,l9632,1620r18,-74l9674,1454r30,-98l9705,1354r1,-4l9682,1316r-19,-38l9650,1236r-7,-44l9674,1192r3,26l9686,1252r14,34l9718,1316r33,l9740,1346r19,18l9775,1378r-46,l9703,1464r-23,84l9662,1622r-10,50xm10321,1672r-51,l10324,1630r42,-56l10393,1510r9,-72l10391,1360r-32,-68l10311,1234r-63,-42l10303,1192r7,4l10361,1242r39,58l10424,1366r9,72l10425,1508r-23,64l10366,1628r-45,44xm10076,1438r-107,l10014,1430r22,-6l10028,1368r-19,-50l9981,1272r-36,-38l9986,1234r20,22l10035,1302r20,52l10066,1410r57,l10118,1414r-25,16l10076,1438xm9892,1712r-129,l9806,1708r41,-10l9886,1682r35,-22l9881,1616r-30,-52l9831,1506r-7,-64l9798,1430r-25,-16l9750,1398r-21,-20l9775,1378r4,4l9801,1398r24,12l9857,1410r-2,14l9876,1430r46,8l10076,1438r-9,4l10065,1454r-210,l9863,1508r19,50l9910,1604r35,38l9986,1642r-17,18l10002,1680r-57,l9905,1706r-13,6xm10257,1712r-129,l10158,1710r57,-12l10242,1688r-14,-66l10210,1548r-22,-84l10162,1378r32,l10217,1454r24,92l10259,1620r11,52l10321,1672r-2,2l10262,1710r-5,2xm9969,1468r-47,l9899,1466r-44,-12l10036,1454r-44,12l9969,1468xm9986,1642r-41,l9981,1604r28,-46l10028,1508r8,-54l10065,1454r-6,52l10040,1564r-31,52l9986,1642xm10128,1742r-50,-4l10031,1726r-45,-20l9945,1680r57,l10005,1682r38,16l10085,1708r43,4l10257,1712r-59,22l10128,1742xe" fillcolor="#00a0f5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51553792" behindDoc="1" locked="0" layoutInCell="1" allowOverlap="1">
          <wp:simplePos x="0" y="0"/>
          <wp:positionH relativeFrom="page">
            <wp:posOffset>5766944</wp:posOffset>
          </wp:positionH>
          <wp:positionV relativeFrom="page">
            <wp:posOffset>1199455</wp:posOffset>
          </wp:positionV>
          <wp:extent cx="1082217" cy="1739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217" cy="17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.95pt;margin-top:92.35pt;width:82.95pt;height:17.4pt;z-index:-251761664;mso-position-horizontal-relative:page;mso-position-vertical-relative:page" filled="f" stroked="f">
          <v:textbox inset="0,0,0,0">
            <w:txbxContent>
              <w:p w:rsidR="003D73E5" w:rsidRDefault="00F73BC1">
                <w:pPr>
                  <w:spacing w:before="5"/>
                  <w:ind w:left="20"/>
                  <w:rPr>
                    <w:sz w:val="28"/>
                  </w:rPr>
                </w:pPr>
                <w:r>
                  <w:rPr>
                    <w:w w:val="110"/>
                    <w:sz w:val="28"/>
                  </w:rPr>
                  <w:t>Press</w:t>
                </w:r>
                <w:r>
                  <w:rPr>
                    <w:spacing w:val="-21"/>
                    <w:w w:val="110"/>
                    <w:sz w:val="28"/>
                  </w:rPr>
                  <w:t xml:space="preserve"> </w:t>
                </w:r>
                <w:r>
                  <w:rPr>
                    <w:w w:val="110"/>
                    <w:sz w:val="28"/>
                  </w:rPr>
                  <w:t>Release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2.1pt;margin-top:154.25pt;width:43.9pt;height:19.6pt;z-index:-251760640;mso-position-horizontal-relative:page;mso-position-vertical-relative:page" filled="f" stroked="f">
          <v:textbox inset="0,0,0,0">
            <w:txbxContent>
              <w:p w:rsidR="003D73E5" w:rsidRDefault="00F73BC1">
                <w:pPr>
                  <w:spacing w:before="11"/>
                  <w:ind w:left="20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June 14, 2019</w:t>
                </w:r>
              </w:p>
              <w:p w:rsidR="003D73E5" w:rsidRDefault="00F73BC1">
                <w:pPr>
                  <w:spacing w:before="39"/>
                  <w:ind w:left="20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Page 1/2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E5" w:rsidRDefault="00F73BC1">
    <w:pPr>
      <w:pStyle w:val="BodyText"/>
      <w:spacing w:line="14" w:lineRule="auto"/>
    </w:pPr>
    <w:r>
      <w:pict>
        <v:shape id="_x0000_s2050" style="position:absolute;margin-left:472.95pt;margin-top:43.1pt;width:48.75pt;height:44pt;z-index:-251758592;mso-position-horizontal-relative:page;mso-position-vertical-relative:page" coordorigin="9459,862" coordsize="975,880" o:spt="100" adj="0,,0" path="m9763,1742r-70,-8l9629,1710r-56,-36l9526,1628r-36,-56l9467,1508r-8,-70l9468,1366r24,-66l9531,1242r50,-46l9642,1160r8,-68l9674,1028r36,-56l9757,926r56,-34l9876,868r69,-6l10014,868r64,24l9945,892r-70,8l9812,926r-54,40l9715,1018r-30,62l9672,1148r181,l9861,1150r30,12l9894,1164r-131,l9716,1168r-44,12l9674,1192r-31,l9580,1234r-48,58l9501,1360r-11,78l9499,1510r27,64l9567,1630r54,42l9652,1672r-3,16l9676,1698r57,12l9763,1712r129,l9861,1726r-48,12l9763,1742xm10248,1148r-29,l10206,1080r-30,-62l10133,966r-54,-40l10016,900r-71,-8l10078,892r56,34l10181,972r36,56l10241,1092r7,56xm9834,1136r-36,l9834,1082r36,-38l9908,1020r37,-8l9984,1020r37,24l9945,1044r-30,6l9886,1070r-29,32l9834,1136xm10006,1194r-61,l9972,1178r28,-16l10030,1150r31,-8l10034,1102r-28,-32l9976,1050r-31,-6l10021,1044r37,38l10094,1136r69,l10197,1142r22,6l10248,1148r1,12l10256,1164r-135,l10116,1166r-7,l10111,1170r-33,l10049,1176r-28,10l10006,1194xm9853,1148r-181,l9694,1142r45,-8l9786,1134r12,2l9834,1136r-4,6l9853,1148xm10163,1136r-69,l10116,1134r36,l10163,1136xm9751,1316r-33,l9734,1274r15,-40l9765,1198r16,-32l9776,1166r-7,-2l9894,1164r11,6l9813,1170r-19,40l9775,1252r-18,46l9751,1316xm10209,1316r-36,l10191,1286r14,-34l10214,1218r5,-38l10175,1168r-47,-4l10256,1164r47,28l10248,1192r-7,44l10228,1278r-19,38xm9857,1410r-32,l9835,1354r21,-52l9885,1256r36,-40l9897,1200r-26,-14l9843,1176r-30,-6l9905,1170r14,8l9945,1194r61,l9994,1200r-25,16l9986,1234r-41,l9910,1272r-28,46l9863,1368r-6,42xm10123,1410r-57,l10089,1398r23,-16l10132,1364r19,-18l10134,1298r-18,-46l10097,1210r-19,-40l10111,1170r15,28l10142,1234r15,40l10173,1316r36,l10185,1350r1,4l10187,1354r,2l10194,1378r-32,l10141,1398r-18,12xm9652,1672r-31,l9632,1620r18,-74l9674,1454r30,-98l9705,1354r1,-4l9682,1316r-19,-38l9650,1236r-7,-44l9674,1192r3,26l9686,1252r14,34l9718,1316r33,l9740,1346r19,18l9775,1378r-46,l9703,1464r-23,84l9662,1622r-10,50xm10321,1672r-51,l10324,1630r42,-56l10393,1510r9,-72l10391,1360r-32,-68l10311,1234r-63,-42l10303,1192r7,4l10361,1242r39,58l10424,1366r9,72l10425,1508r-23,64l10366,1628r-45,44xm10076,1438r-107,l10014,1430r22,-6l10028,1368r-19,-50l9981,1272r-36,-38l9986,1234r20,22l10035,1302r20,52l10066,1410r57,l10118,1414r-25,16l10076,1438xm9892,1712r-129,l9806,1708r41,-10l9886,1682r35,-22l9881,1616r-30,-52l9831,1506r-7,-64l9798,1430r-25,-16l9750,1398r-21,-20l9775,1378r4,4l9801,1398r24,12l9857,1410r-2,14l9876,1430r46,8l10076,1438r-9,4l10065,1454r-210,l9863,1508r19,50l9910,1604r35,38l9986,1642r-17,18l10002,1680r-57,l9905,1706r-13,6xm10257,1712r-129,l10158,1710r57,-12l10242,1688r-14,-66l10210,1548r-22,-84l10162,1378r32,l10217,1454r24,92l10259,1620r11,52l10321,1672r-2,2l10262,1710r-5,2xm9969,1468r-47,l9899,1466r-44,-12l10036,1454r-44,12l9969,1468xm9986,1642r-41,l9981,1604r28,-46l10028,1508r8,-54l10065,1454r-6,52l10040,1564r-31,52l9986,1642xm10128,1742r-50,-4l10031,1726r-45,-20l9945,1680r57,l10005,1682r38,16l10085,1708r43,4l10257,1712r-59,22l10128,1742xe" fillcolor="#00a0f5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51558912" behindDoc="1" locked="0" layoutInCell="1" allowOverlap="1">
          <wp:simplePos x="0" y="0"/>
          <wp:positionH relativeFrom="page">
            <wp:posOffset>5766944</wp:posOffset>
          </wp:positionH>
          <wp:positionV relativeFrom="page">
            <wp:posOffset>1199455</wp:posOffset>
          </wp:positionV>
          <wp:extent cx="1082217" cy="17393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217" cy="17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pt;margin-top:153.4pt;width:43.9pt;height:19.6pt;z-index:-251756544;mso-position-horizontal-relative:page;mso-position-vertical-relative:page" filled="f" stroked="f">
          <v:textbox inset="0,0,0,0">
            <w:txbxContent>
              <w:p w:rsidR="003D73E5" w:rsidRDefault="00F73BC1">
                <w:pPr>
                  <w:spacing w:before="11"/>
                  <w:ind w:left="20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June 14, 2019</w:t>
                </w:r>
              </w:p>
              <w:p w:rsidR="003D73E5" w:rsidRDefault="00F73BC1">
                <w:pPr>
                  <w:spacing w:before="39"/>
                  <w:ind w:left="20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Page 2/2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E5"/>
    <w:rsid w:val="00020129"/>
    <w:rsid w:val="003D73E5"/>
    <w:rsid w:val="006F2FE8"/>
    <w:rsid w:val="00F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0D4B946-ECCD-41A5-BDC4-E5DB33A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hyssenkrup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engineered.thyssenkrupp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thyssenkrupp?lang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yssenkrupp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yssenkrupp.com/" TargetMode="External"/><Relationship Id="rId1" Type="http://schemas.openxmlformats.org/officeDocument/2006/relationships/hyperlink" Target="mailto:press@thyssenkru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Bojan Stojkovic</cp:lastModifiedBy>
  <cp:revision>2</cp:revision>
  <dcterms:created xsi:type="dcterms:W3CDTF">2019-06-14T11:33:00Z</dcterms:created>
  <dcterms:modified xsi:type="dcterms:W3CDTF">2019-06-14T11:33:00Z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2019-06-14T00:00:00Z</vt:filetime>
  </property>
</Properties>
</file>