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19372DC8" w14:textId="77777777" w:rsidTr="008D3DFA">
        <w:trPr>
          <w:trHeight w:val="45"/>
        </w:trPr>
        <w:tc>
          <w:tcPr>
            <w:tcW w:w="7655" w:type="dxa"/>
          </w:tcPr>
          <w:p w14:paraId="2C594545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77C344E6" w14:textId="77777777" w:rsidR="008D3DFA" w:rsidRDefault="009772C9" w:rsidP="001E7E0A">
            <w:pPr>
              <w:pStyle w:val="BusinessArea"/>
            </w:pPr>
            <w:r>
              <w:t>Steel Europe</w:t>
            </w:r>
          </w:p>
        </w:tc>
      </w:tr>
      <w:tr w:rsidR="001E7E0A" w14:paraId="4CEFEFCB" w14:textId="77777777" w:rsidTr="001E7E0A">
        <w:trPr>
          <w:trHeight w:val="408"/>
        </w:trPr>
        <w:tc>
          <w:tcPr>
            <w:tcW w:w="7655" w:type="dxa"/>
          </w:tcPr>
          <w:p w14:paraId="74E41FCE" w14:textId="77777777" w:rsidR="001E7E0A" w:rsidRDefault="001E7E0A" w:rsidP="001E7E0A"/>
        </w:tc>
        <w:tc>
          <w:tcPr>
            <w:tcW w:w="1724" w:type="dxa"/>
          </w:tcPr>
          <w:p w14:paraId="6EA50CFB" w14:textId="77777777" w:rsidR="001E7E0A" w:rsidRDefault="001E7E0A" w:rsidP="001E7E0A">
            <w:pPr>
              <w:pStyle w:val="BusinessArea"/>
            </w:pPr>
          </w:p>
        </w:tc>
      </w:tr>
      <w:tr w:rsidR="001E7E0A" w14:paraId="56565E7E" w14:textId="77777777" w:rsidTr="001E7E0A">
        <w:trPr>
          <w:trHeight w:val="992"/>
        </w:trPr>
        <w:tc>
          <w:tcPr>
            <w:tcW w:w="7655" w:type="dxa"/>
          </w:tcPr>
          <w:p w14:paraId="2BCF2D44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6086078" w14:textId="737718AC" w:rsidR="001E7E0A" w:rsidRPr="0090250B" w:rsidRDefault="00DD4CFC" w:rsidP="0090250B">
            <w:pPr>
              <w:pStyle w:val="Datumsangabe"/>
            </w:pPr>
            <w:r>
              <w:t>25 October 2022</w:t>
            </w:r>
          </w:p>
          <w:p w14:paraId="4A69C278" w14:textId="34E83FDF" w:rsidR="001E7E0A" w:rsidRPr="0087668E" w:rsidRDefault="001E7E0A" w:rsidP="00D25937">
            <w:pPr>
              <w:pStyle w:val="Seitenzahlangabe"/>
            </w:pPr>
            <w:r>
              <w:t xml:space="preserve">Page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FB4DA5">
              <w:rPr>
                <w:noProof/>
              </w:rPr>
              <w:t>1</w:t>
            </w:r>
            <w:r w:rsidRPr="0087668E">
              <w:fldChar w:fldCharType="end"/>
            </w:r>
            <w:r>
              <w:t>/2</w:t>
            </w:r>
          </w:p>
        </w:tc>
      </w:tr>
    </w:tbl>
    <w:p w14:paraId="4A73ED00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5C58020C" w14:textId="5B0154A4" w:rsidR="00DE2408" w:rsidRPr="00DF7C16" w:rsidRDefault="00D21072" w:rsidP="0017687E">
      <w:pPr>
        <w:pStyle w:val="StandardWeb1"/>
        <w:spacing w:line="360" w:lineRule="auto"/>
        <w:rPr>
          <w:rFonts w:ascii="TKTypeRegular" w:hAnsi="TKTypeRegular"/>
          <w:b/>
          <w:szCs w:val="20"/>
        </w:rPr>
      </w:pPr>
      <w:proofErr w:type="spellStart"/>
      <w:r>
        <w:rPr>
          <w:rFonts w:ascii="TKTypeRegular" w:hAnsi="TKTypeRegular"/>
          <w:b/>
        </w:rPr>
        <w:t>Microalloyed</w:t>
      </w:r>
      <w:proofErr w:type="spellEnd"/>
      <w:r>
        <w:rPr>
          <w:rFonts w:ascii="TKTypeRegular" w:hAnsi="TKTypeRegular"/>
          <w:b/>
        </w:rPr>
        <w:t xml:space="preserve"> HD steels</w:t>
      </w:r>
      <w:r>
        <w:rPr>
          <w:rFonts w:ascii="TKTypeRegular" w:hAnsi="TKTypeRegular"/>
          <w:color w:val="000000" w:themeColor="text1"/>
        </w:rPr>
        <w:t xml:space="preserve"> </w:t>
      </w:r>
      <w:r>
        <w:rPr>
          <w:rFonts w:ascii="TKTypeRegular" w:hAnsi="TKTypeRegular"/>
          <w:b/>
          <w:color w:val="000000" w:themeColor="text1"/>
        </w:rPr>
        <w:t xml:space="preserve">perform® and </w:t>
      </w:r>
      <w:proofErr w:type="spellStart"/>
      <w:r>
        <w:rPr>
          <w:rFonts w:ascii="TKTypeRegular" w:hAnsi="TKTypeRegular"/>
          <w:b/>
        </w:rPr>
        <w:t>precidur</w:t>
      </w:r>
      <w:proofErr w:type="spellEnd"/>
      <w:r>
        <w:rPr>
          <w:rFonts w:ascii="TKTypeRegular" w:hAnsi="TKTypeRegular"/>
          <w:b/>
          <w:vertAlign w:val="superscript"/>
        </w:rPr>
        <w:t>®</w:t>
      </w:r>
      <w:r>
        <w:rPr>
          <w:rFonts w:ascii="TKTypeRegular" w:hAnsi="TKTypeRegular"/>
          <w:b/>
        </w:rPr>
        <w:t xml:space="preserve">: thyssenkrupp Steel presents extensive hot strip and precision strip portfolio with excellent processing properties for automotive construction at </w:t>
      </w:r>
      <w:proofErr w:type="spellStart"/>
      <w:r>
        <w:rPr>
          <w:rFonts w:ascii="TKTypeRegular" w:hAnsi="TKTypeRegular"/>
          <w:b/>
        </w:rPr>
        <w:t>EuroBLECH</w:t>
      </w:r>
      <w:proofErr w:type="spellEnd"/>
    </w:p>
    <w:p w14:paraId="37537986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4BBAEF8" w14:textId="30D514B6" w:rsidR="00DD4CFC" w:rsidRDefault="00DD4CFC" w:rsidP="00DD4CFC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 xml:space="preserve">perform® HD – particularly good processing behavior for automotive construction </w:t>
      </w:r>
    </w:p>
    <w:p w14:paraId="32734A4E" w14:textId="4A816AE0" w:rsidR="00DD4CFC" w:rsidRDefault="00DD4CFC" w:rsidP="00DD4CFC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proofErr w:type="spellStart"/>
      <w:r>
        <w:rPr>
          <w:rFonts w:ascii="TKTypeRegular" w:hAnsi="TKTypeRegular"/>
          <w:sz w:val="20"/>
        </w:rPr>
        <w:t>precidur</w:t>
      </w:r>
      <w:proofErr w:type="spellEnd"/>
      <w:r>
        <w:rPr>
          <w:rFonts w:ascii="TKTypeRegular" w:hAnsi="TKTypeRegular"/>
          <w:sz w:val="20"/>
        </w:rPr>
        <w:t>® HSM HD – maximum forming capacity for safety-relevant components</w:t>
      </w:r>
    </w:p>
    <w:p w14:paraId="6C648674" w14:textId="3C9B192C" w:rsidR="00DD4CFC" w:rsidRPr="00654705" w:rsidRDefault="00DD4CFC" w:rsidP="00DD4CFC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 xml:space="preserve">Sample products from perform® and </w:t>
      </w:r>
      <w:proofErr w:type="spellStart"/>
      <w:r>
        <w:rPr>
          <w:rFonts w:ascii="TKTypeRegular" w:hAnsi="TKTypeRegular"/>
          <w:sz w:val="20"/>
        </w:rPr>
        <w:t>precidur</w:t>
      </w:r>
      <w:proofErr w:type="spellEnd"/>
      <w:r>
        <w:rPr>
          <w:rFonts w:ascii="TKTypeRegular" w:hAnsi="TKTypeRegular"/>
          <w:sz w:val="20"/>
        </w:rPr>
        <w:t xml:space="preserve">® as well as other innovative steels will be presented by thyssenkrupp Steel from 25 to 28 October at the </w:t>
      </w:r>
      <w:proofErr w:type="spellStart"/>
      <w:r>
        <w:rPr>
          <w:rFonts w:ascii="TKTypeRegular" w:hAnsi="TKTypeRegular"/>
          <w:sz w:val="20"/>
        </w:rPr>
        <w:t>EuroBLECH</w:t>
      </w:r>
      <w:proofErr w:type="spellEnd"/>
      <w:r>
        <w:rPr>
          <w:rFonts w:ascii="TKTypeRegular" w:hAnsi="TKTypeRegular"/>
          <w:sz w:val="20"/>
        </w:rPr>
        <w:t xml:space="preserve"> trade show in Hannover, Hall 17, booth E33</w:t>
      </w:r>
    </w:p>
    <w:p w14:paraId="1005819B" w14:textId="66394548" w:rsidR="00DD4CFC" w:rsidRDefault="00DD4CFC" w:rsidP="00DD4CFC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>Presentation by thyssenkrupp Steel on "</w:t>
      </w:r>
      <w:proofErr w:type="spellStart"/>
      <w:r>
        <w:rPr>
          <w:rFonts w:ascii="TKTypeRegular" w:hAnsi="TKTypeRegular"/>
          <w:sz w:val="20"/>
        </w:rPr>
        <w:t>bluemint</w:t>
      </w:r>
      <w:proofErr w:type="spellEnd"/>
      <w:r>
        <w:rPr>
          <w:rFonts w:ascii="TKTypeRegular" w:hAnsi="TKTypeRegular"/>
          <w:sz w:val="20"/>
        </w:rPr>
        <w:t xml:space="preserve">® Steel and the transformation of steel production at thyssenkrupp Steel Europe" on 27 October 2022 from 2:00 p.m. to 2:30 p.m. in the </w:t>
      </w:r>
      <w:proofErr w:type="spellStart"/>
      <w:r>
        <w:rPr>
          <w:rFonts w:ascii="TKTypeRegular" w:hAnsi="TKTypeRegular"/>
          <w:sz w:val="20"/>
        </w:rPr>
        <w:t>EuroBLECH</w:t>
      </w:r>
      <w:proofErr w:type="spellEnd"/>
      <w:r>
        <w:rPr>
          <w:rFonts w:ascii="TKTypeRegular" w:hAnsi="TKTypeRegular"/>
          <w:sz w:val="20"/>
        </w:rPr>
        <w:t xml:space="preserve"> Presentation Area, Hall 26, booth L60</w:t>
      </w:r>
    </w:p>
    <w:p w14:paraId="32558AF6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055861F" w14:textId="51D5237B" w:rsidR="00DD4CFC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  <w:r>
        <w:rPr>
          <w:rFonts w:ascii="TKTypeRegular" w:hAnsi="TKTypeRegular"/>
          <w:sz w:val="20"/>
        </w:rPr>
        <w:t xml:space="preserve">Highly ductile </w:t>
      </w:r>
      <w:proofErr w:type="spellStart"/>
      <w:r>
        <w:rPr>
          <w:rFonts w:ascii="TKTypeRegular" w:hAnsi="TKTypeRegular"/>
          <w:sz w:val="20"/>
        </w:rPr>
        <w:t>microalloyed</w:t>
      </w:r>
      <w:proofErr w:type="spellEnd"/>
      <w:r>
        <w:rPr>
          <w:rFonts w:ascii="TKTypeRegular" w:hAnsi="TKTypeRegular"/>
          <w:sz w:val="20"/>
        </w:rPr>
        <w:t xml:space="preserve"> fine-grained steels are the first choice when significantly improved formability is required for complex component geometries in the axle or wheel suspension area. thyssenkrupp Steel has developed perform® HD as hot-rolled wide strip and the particularly close-tolerance </w:t>
      </w:r>
      <w:proofErr w:type="spellStart"/>
      <w:r>
        <w:rPr>
          <w:rFonts w:ascii="TKTypeRegular" w:hAnsi="TKTypeRegular"/>
          <w:sz w:val="20"/>
        </w:rPr>
        <w:t>precidur</w:t>
      </w:r>
      <w:proofErr w:type="spellEnd"/>
      <w:r>
        <w:rPr>
          <w:rFonts w:ascii="TKTypeRegular" w:hAnsi="TKTypeRegular"/>
          <w:sz w:val="20"/>
        </w:rPr>
        <w:t xml:space="preserve">® HSM HD precision strip for this purpose. The special </w:t>
      </w:r>
      <w:r w:rsidR="00754EB3">
        <w:rPr>
          <w:rFonts w:ascii="TKTypeRegular" w:hAnsi="TKTypeRegular"/>
          <w:sz w:val="20"/>
        </w:rPr>
        <w:t xml:space="preserve">crystalline </w:t>
      </w:r>
      <w:r>
        <w:rPr>
          <w:rFonts w:ascii="TKTypeRegular" w:hAnsi="TKTypeRegular"/>
          <w:sz w:val="20"/>
        </w:rPr>
        <w:t xml:space="preserve">structure of the highly ductile </w:t>
      </w:r>
      <w:proofErr w:type="spellStart"/>
      <w:r>
        <w:rPr>
          <w:rFonts w:ascii="TKTypeRegular" w:hAnsi="TKTypeRegular"/>
          <w:sz w:val="20"/>
        </w:rPr>
        <w:t>microalloyed</w:t>
      </w:r>
      <w:proofErr w:type="spellEnd"/>
      <w:r>
        <w:rPr>
          <w:rFonts w:ascii="TKTypeRegular" w:hAnsi="TKTypeRegular"/>
          <w:sz w:val="20"/>
        </w:rPr>
        <w:t xml:space="preserve"> grades ensures stable mechanical properties. New in the range: </w:t>
      </w:r>
      <w:proofErr w:type="spellStart"/>
      <w:r>
        <w:rPr>
          <w:rFonts w:ascii="TKTypeRegular" w:hAnsi="TKTypeRegular"/>
          <w:sz w:val="20"/>
        </w:rPr>
        <w:t>microalloyed</w:t>
      </w:r>
      <w:proofErr w:type="spellEnd"/>
      <w:r>
        <w:rPr>
          <w:rFonts w:ascii="TKTypeRegular" w:hAnsi="TKTypeRegular"/>
          <w:sz w:val="20"/>
        </w:rPr>
        <w:t xml:space="preserve"> perform</w:t>
      </w:r>
      <w:r>
        <w:rPr>
          <w:rFonts w:ascii="TKTypeRegular" w:hAnsi="TKTypeRegular"/>
          <w:sz w:val="20"/>
          <w:vertAlign w:val="superscript"/>
        </w:rPr>
        <w:t>®</w:t>
      </w:r>
      <w:r>
        <w:rPr>
          <w:rFonts w:ascii="TKTypeRegular" w:hAnsi="TKTypeRegular"/>
          <w:sz w:val="20"/>
        </w:rPr>
        <w:t xml:space="preserve"> HD steels in the yield point range from 315 to 550 MPa (hot-rolled wide strip) and the two newly developed grades </w:t>
      </w:r>
      <w:proofErr w:type="spellStart"/>
      <w:r>
        <w:rPr>
          <w:rFonts w:ascii="TKTypeRegular" w:hAnsi="TKTypeRegular"/>
          <w:sz w:val="20"/>
        </w:rPr>
        <w:t>precidur</w:t>
      </w:r>
      <w:proofErr w:type="spellEnd"/>
      <w:r>
        <w:rPr>
          <w:rFonts w:ascii="TKTypeRegular" w:hAnsi="TKTypeRegular"/>
          <w:sz w:val="20"/>
          <w:vertAlign w:val="superscript"/>
        </w:rPr>
        <w:t>®</w:t>
      </w:r>
      <w:r>
        <w:rPr>
          <w:rFonts w:ascii="TKTypeRegular" w:hAnsi="TKTypeRegular"/>
          <w:sz w:val="20"/>
        </w:rPr>
        <w:t xml:space="preserve"> HSM 380 HD and </w:t>
      </w:r>
      <w:proofErr w:type="spellStart"/>
      <w:r>
        <w:rPr>
          <w:rFonts w:ascii="TKTypeRegular" w:hAnsi="TKTypeRegular"/>
          <w:sz w:val="20"/>
        </w:rPr>
        <w:t>precidur</w:t>
      </w:r>
      <w:proofErr w:type="spellEnd"/>
      <w:r>
        <w:rPr>
          <w:rFonts w:ascii="TKTypeRegular" w:hAnsi="TKTypeRegular"/>
          <w:sz w:val="20"/>
          <w:vertAlign w:val="superscript"/>
        </w:rPr>
        <w:t>®</w:t>
      </w:r>
      <w:r>
        <w:rPr>
          <w:rFonts w:ascii="TKTypeRegular" w:hAnsi="TKTypeRegular"/>
          <w:sz w:val="20"/>
        </w:rPr>
        <w:t xml:space="preserve"> HSM 420 HD (precision strip). Chassis steel CH-W</w:t>
      </w:r>
      <w:r>
        <w:rPr>
          <w:rFonts w:ascii="TKTypeRegular" w:hAnsi="TKTypeRegular"/>
          <w:sz w:val="20"/>
          <w:vertAlign w:val="superscript"/>
        </w:rPr>
        <w:t>®</w:t>
      </w:r>
      <w:r>
        <w:rPr>
          <w:rFonts w:ascii="TKTypeRegular" w:hAnsi="TKTypeRegular"/>
          <w:sz w:val="20"/>
        </w:rPr>
        <w:t xml:space="preserve"> 660Y760T is now also available hot-dip galvanized. The latter is the lightweight solution for single-skin control arms and comparable demanding components.</w:t>
      </w:r>
    </w:p>
    <w:p w14:paraId="5C0731E5" w14:textId="77777777" w:rsidR="00DD4CFC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</w:p>
    <w:p w14:paraId="5E86F511" w14:textId="77777777" w:rsidR="00EA6426" w:rsidRDefault="00EA6426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</w:p>
    <w:p w14:paraId="44FBB91D" w14:textId="77777777" w:rsidR="00EA6426" w:rsidRDefault="006C1A55" w:rsidP="00DD4CFC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</w:rPr>
        <w:lastRenderedPageBreak/>
        <w:t xml:space="preserve">perform® HD steels for optimum component-related material selection </w:t>
      </w:r>
    </w:p>
    <w:p w14:paraId="1DC3A14B" w14:textId="7D79CEB4" w:rsidR="00DD4CFC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  <w:r>
        <w:rPr>
          <w:rFonts w:ascii="TKTypeRegular" w:hAnsi="TKTypeRegular"/>
          <w:sz w:val="20"/>
        </w:rPr>
        <w:t xml:space="preserve">Due to their good processing behavior, hot-rolled </w:t>
      </w:r>
      <w:proofErr w:type="spellStart"/>
      <w:r>
        <w:rPr>
          <w:rFonts w:ascii="TKTypeRegular" w:hAnsi="TKTypeRegular"/>
          <w:sz w:val="20"/>
        </w:rPr>
        <w:t>microalloyed</w:t>
      </w:r>
      <w:proofErr w:type="spellEnd"/>
      <w:r>
        <w:rPr>
          <w:rFonts w:ascii="TKTypeRegular" w:hAnsi="TKTypeRegular"/>
          <w:sz w:val="20"/>
        </w:rPr>
        <w:t xml:space="preserve"> steels have proven their worth in automotive construction – especially in the areas of chassis and seats. The new high-ductility (HD) grades from thyssenkrupp Steel offer convincing features, with a uniform property profile tailored to the intended use at the same time as an increased forming potential. "The new micro-alloyed HD steels are characterized by a significantly narrower range of mechanical properties compared to the standard and have an increased elongation after fracture," says product manager Arne Schreiber. "With the higher-strength grades, the component weight can additionally be reduced. perform® HD steels are ideally suited for seat components such as cushion side members and seat rails or in the axle or wheel suspension area."</w:t>
      </w:r>
    </w:p>
    <w:p w14:paraId="777C820E" w14:textId="77777777" w:rsidR="00DD4CFC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</w:p>
    <w:p w14:paraId="750F7A15" w14:textId="77777777" w:rsidR="00DD4CFC" w:rsidRPr="00DB24F0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proofErr w:type="spellStart"/>
      <w:r>
        <w:rPr>
          <w:rFonts w:ascii="TKTypeRegular" w:hAnsi="TKTypeRegular"/>
          <w:b/>
          <w:sz w:val="20"/>
        </w:rPr>
        <w:t>precidur</w:t>
      </w:r>
      <w:proofErr w:type="spellEnd"/>
      <w:r>
        <w:rPr>
          <w:rFonts w:ascii="TKTypeRegular" w:hAnsi="TKTypeRegular"/>
          <w:b/>
          <w:sz w:val="20"/>
          <w:vertAlign w:val="superscript"/>
        </w:rPr>
        <w:t>®</w:t>
      </w:r>
      <w:r>
        <w:rPr>
          <w:rFonts w:ascii="TKTypeRegular" w:hAnsi="TKTypeRegular"/>
          <w:b/>
          <w:sz w:val="20"/>
        </w:rPr>
        <w:t xml:space="preserve"> – that little bit extra for complex components </w:t>
      </w:r>
    </w:p>
    <w:p w14:paraId="6DCB6E8A" w14:textId="77777777" w:rsidR="00DD4CFC" w:rsidRPr="004E5037" w:rsidRDefault="00DD4CFC" w:rsidP="00DD4CFC">
      <w:pPr>
        <w:pStyle w:val="StandardWeb1"/>
        <w:spacing w:line="360" w:lineRule="auto"/>
        <w:jc w:val="both"/>
        <w:rPr>
          <w:rFonts w:ascii="TKTypeRegular" w:hAnsi="TKTypeRegular"/>
          <w:bCs/>
          <w:sz w:val="20"/>
          <w:szCs w:val="20"/>
        </w:rPr>
      </w:pPr>
      <w:proofErr w:type="spellStart"/>
      <w:r>
        <w:rPr>
          <w:rFonts w:ascii="TKTypeRegular" w:hAnsi="TKTypeRegular"/>
          <w:sz w:val="20"/>
        </w:rPr>
        <w:t>precidur</w:t>
      </w:r>
      <w:proofErr w:type="spellEnd"/>
      <w:r>
        <w:rPr>
          <w:rFonts w:ascii="TKTypeRegular" w:hAnsi="TKTypeRegular"/>
          <w:sz w:val="20"/>
          <w:vertAlign w:val="superscript"/>
        </w:rPr>
        <w:t>®</w:t>
      </w:r>
      <w:r>
        <w:rPr>
          <w:rFonts w:ascii="TKTypeRegular" w:hAnsi="TKTypeRegular"/>
          <w:sz w:val="20"/>
        </w:rPr>
        <w:t xml:space="preserve"> is used in almost all branches of industry. Particularly in the case of safety-relevant components, functional and design aspects are playing an increasing role alongside reliability – which demands the highest forming capacity of the basic material. Hot-rolled fine-grained steels such as </w:t>
      </w:r>
      <w:proofErr w:type="spellStart"/>
      <w:r>
        <w:rPr>
          <w:rFonts w:ascii="TKTypeRegular" w:hAnsi="TKTypeRegular"/>
          <w:sz w:val="20"/>
        </w:rPr>
        <w:t>precidur</w:t>
      </w:r>
      <w:proofErr w:type="spellEnd"/>
      <w:r>
        <w:rPr>
          <w:rFonts w:ascii="TKTypeRegular" w:hAnsi="TKTypeRegular"/>
          <w:sz w:val="20"/>
          <w:vertAlign w:val="superscript"/>
        </w:rPr>
        <w:t>®</w:t>
      </w:r>
      <w:r>
        <w:rPr>
          <w:rFonts w:ascii="TKTypeRegular" w:hAnsi="TKTypeRegular"/>
          <w:sz w:val="20"/>
        </w:rPr>
        <w:t xml:space="preserve"> HSM 380 HD and </w:t>
      </w:r>
      <w:proofErr w:type="spellStart"/>
      <w:r>
        <w:rPr>
          <w:rFonts w:ascii="TKTypeRegular" w:hAnsi="TKTypeRegular"/>
          <w:sz w:val="20"/>
        </w:rPr>
        <w:t>precidur</w:t>
      </w:r>
      <w:proofErr w:type="spellEnd"/>
      <w:r>
        <w:rPr>
          <w:rFonts w:ascii="TKTypeRegular" w:hAnsi="TKTypeRegular"/>
          <w:sz w:val="20"/>
          <w:vertAlign w:val="superscript"/>
        </w:rPr>
        <w:t>®</w:t>
      </w:r>
      <w:r>
        <w:rPr>
          <w:rFonts w:ascii="TKTypeRegular" w:hAnsi="TKTypeRegular"/>
          <w:sz w:val="20"/>
        </w:rPr>
        <w:t xml:space="preserve"> HSM 420 HD are particularly suitable for this purpose. They are characterized by symmetrical strip profiles and the rolled mill edge. Compared to proven </w:t>
      </w:r>
      <w:proofErr w:type="spellStart"/>
      <w:r>
        <w:rPr>
          <w:rFonts w:ascii="TKTypeRegular" w:hAnsi="TKTypeRegular"/>
          <w:sz w:val="20"/>
        </w:rPr>
        <w:t>microalloyed</w:t>
      </w:r>
      <w:proofErr w:type="spellEnd"/>
      <w:r>
        <w:rPr>
          <w:rFonts w:ascii="TKTypeRegular" w:hAnsi="TKTypeRegular"/>
          <w:sz w:val="20"/>
        </w:rPr>
        <w:t xml:space="preserve"> fine-grain structural steels, they make increased forming potential possible with the same strength. </w:t>
      </w:r>
    </w:p>
    <w:tbl>
      <w:tblPr>
        <w:tblStyle w:val="Tabellenraster"/>
        <w:tblW w:w="7429" w:type="dxa"/>
        <w:tblBorders>
          <w:top w:val="single" w:sz="4" w:space="0" w:color="00A0F5" w:themeColor="accent1"/>
          <w:left w:val="single" w:sz="4" w:space="0" w:color="00A0F5" w:themeColor="accent1"/>
          <w:bottom w:val="single" w:sz="4" w:space="0" w:color="00A0F5" w:themeColor="accent1"/>
          <w:right w:val="single" w:sz="4" w:space="0" w:color="00A0F5" w:themeColor="accent1"/>
          <w:insideH w:val="single" w:sz="4" w:space="0" w:color="00A0F5" w:themeColor="accent1"/>
          <w:insideV w:val="single" w:sz="4" w:space="0" w:color="00A0F5" w:themeColor="accent1"/>
        </w:tblBorders>
        <w:tblLook w:val="04A0" w:firstRow="1" w:lastRow="0" w:firstColumn="1" w:lastColumn="0" w:noHBand="0" w:noVBand="1"/>
      </w:tblPr>
      <w:tblGrid>
        <w:gridCol w:w="7429"/>
      </w:tblGrid>
      <w:tr w:rsidR="00DD4CFC" w:rsidRPr="00C6692F" w14:paraId="7FC14156" w14:textId="77777777" w:rsidTr="002A77F6">
        <w:trPr>
          <w:trHeight w:val="1004"/>
        </w:trPr>
        <w:tc>
          <w:tcPr>
            <w:tcW w:w="7429" w:type="dxa"/>
          </w:tcPr>
          <w:p w14:paraId="305C882A" w14:textId="1464DFC7" w:rsidR="00DD4CFC" w:rsidRPr="00C6692F" w:rsidRDefault="00DD4CFC" w:rsidP="009044CA">
            <w:pPr>
              <w:pStyle w:val="StandardWeb1"/>
              <w:spacing w:after="0" w:line="360" w:lineRule="auto"/>
              <w:jc w:val="both"/>
              <w:rPr>
                <w:rFonts w:ascii="TKTypeRegular" w:hAnsi="TKTypeRegular"/>
                <w:b/>
                <w:bCs/>
                <w:sz w:val="20"/>
                <w:szCs w:val="20"/>
              </w:rPr>
            </w:pPr>
            <w:r>
              <w:rPr>
                <w:rFonts w:ascii="TKTypeRegular" w:hAnsi="TKTypeRegular"/>
                <w:b/>
                <w:sz w:val="20"/>
              </w:rPr>
              <w:t xml:space="preserve">The advantages of </w:t>
            </w:r>
            <w:proofErr w:type="spellStart"/>
            <w:r>
              <w:rPr>
                <w:rFonts w:ascii="TKTypeRegular" w:hAnsi="TKTypeRegular"/>
                <w:b/>
                <w:sz w:val="20"/>
              </w:rPr>
              <w:t>microalloyed</w:t>
            </w:r>
            <w:proofErr w:type="spellEnd"/>
            <w:r>
              <w:rPr>
                <w:rFonts w:ascii="TKTypeRegular" w:hAnsi="TKTypeRegular"/>
                <w:b/>
                <w:sz w:val="20"/>
              </w:rPr>
              <w:t xml:space="preserve"> perform® HD steels </w:t>
            </w:r>
            <w:proofErr w:type="gramStart"/>
            <w:r>
              <w:rPr>
                <w:rFonts w:ascii="TKTypeRegular" w:hAnsi="TKTypeRegular"/>
                <w:b/>
                <w:sz w:val="20"/>
              </w:rPr>
              <w:t>at a glance</w:t>
            </w:r>
            <w:proofErr w:type="gramEnd"/>
            <w:r>
              <w:rPr>
                <w:rFonts w:ascii="TKTypeRegular" w:hAnsi="TKTypeRegular"/>
                <w:b/>
                <w:sz w:val="20"/>
              </w:rPr>
              <w:t>:</w:t>
            </w:r>
          </w:p>
          <w:p w14:paraId="68E0799D" w14:textId="77777777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>
              <w:rPr>
                <w:rFonts w:ascii="TKTypeRegular" w:hAnsi="TKTypeRegular"/>
                <w:sz w:val="20"/>
              </w:rPr>
              <w:t>Improved cold formability for complex component geometries</w:t>
            </w:r>
          </w:p>
          <w:p w14:paraId="06A66B62" w14:textId="5F486582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>
              <w:rPr>
                <w:rFonts w:ascii="TKTypeRegular" w:hAnsi="TKTypeRegular"/>
                <w:sz w:val="20"/>
              </w:rPr>
              <w:t>Guaranteed narrower range of mechanical parameters compared to VDA 239-100 and DIN EN 10149-2 standards</w:t>
            </w:r>
          </w:p>
          <w:p w14:paraId="39723EEE" w14:textId="77777777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>
              <w:rPr>
                <w:rFonts w:ascii="TKTypeRegular" w:hAnsi="TKTypeRegular"/>
                <w:sz w:val="20"/>
              </w:rPr>
              <w:t>Significantly increased elongation after fracture</w:t>
            </w:r>
          </w:p>
          <w:p w14:paraId="6EE5105E" w14:textId="77777777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>
              <w:rPr>
                <w:rFonts w:ascii="TKTypeRegular" w:hAnsi="TKTypeRegular"/>
                <w:sz w:val="20"/>
              </w:rPr>
              <w:t>Lightweight potential through sheet thickness reduction</w:t>
            </w:r>
          </w:p>
          <w:p w14:paraId="64B1D32B" w14:textId="77777777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>
              <w:rPr>
                <w:rFonts w:ascii="TKTypeRegular" w:hAnsi="TKTypeRegular"/>
                <w:sz w:val="20"/>
              </w:rPr>
              <w:t>Narrowest thickness tolerances for hot-rolled wide strip</w:t>
            </w:r>
          </w:p>
          <w:p w14:paraId="14FEFD8D" w14:textId="77777777" w:rsidR="00DD4CFC" w:rsidRPr="00026193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>
              <w:rPr>
                <w:rFonts w:ascii="TKTypeRegular" w:hAnsi="TKTypeRegular"/>
                <w:sz w:val="20"/>
              </w:rPr>
              <w:t>Excellent surface quality</w:t>
            </w:r>
          </w:p>
          <w:p w14:paraId="1551D767" w14:textId="77777777" w:rsidR="00DD4CFC" w:rsidRPr="004E5037" w:rsidRDefault="00DD4CFC" w:rsidP="00DD4CFC">
            <w:pPr>
              <w:pStyle w:val="StandardWeb1"/>
              <w:numPr>
                <w:ilvl w:val="0"/>
                <w:numId w:val="29"/>
              </w:numPr>
              <w:spacing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>
              <w:rPr>
                <w:rFonts w:ascii="TKTypeRegular" w:hAnsi="TKTypeRegular"/>
                <w:sz w:val="20"/>
              </w:rPr>
              <w:t>Reduction of production costs in the stamping shop thanks to application-specific property profile</w:t>
            </w:r>
          </w:p>
        </w:tc>
      </w:tr>
    </w:tbl>
    <w:p w14:paraId="46C23DA5" w14:textId="6D65A488" w:rsidR="00DD4CFC" w:rsidRDefault="00DD4CFC" w:rsidP="00DD4CFC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lastRenderedPageBreak/>
        <w:t xml:space="preserve">thyssenkrupp is looking forward to face-to-face encounters and stimulating industry discussions at </w:t>
      </w:r>
      <w:proofErr w:type="spellStart"/>
      <w:r>
        <w:rPr>
          <w:rFonts w:ascii="TKTypeRegular" w:hAnsi="TKTypeRegular"/>
          <w:sz w:val="20"/>
        </w:rPr>
        <w:t>EuroBLECH</w:t>
      </w:r>
      <w:proofErr w:type="spellEnd"/>
      <w:r>
        <w:rPr>
          <w:rFonts w:ascii="TKTypeRegular" w:hAnsi="TKTypeRegular"/>
          <w:sz w:val="20"/>
        </w:rPr>
        <w:t xml:space="preserve"> 2022. Visit the booth from 25 to 28 October 2022 in </w:t>
      </w:r>
      <w:r>
        <w:rPr>
          <w:rFonts w:ascii="TKTypeRegular" w:hAnsi="TKTypeRegular"/>
          <w:b/>
          <w:sz w:val="20"/>
        </w:rPr>
        <w:t>Hall 17, booth E33</w:t>
      </w:r>
      <w:r>
        <w:rPr>
          <w:rFonts w:ascii="TKTypeRegular" w:hAnsi="TKTypeRegular"/>
          <w:sz w:val="20"/>
        </w:rPr>
        <w:t>.</w:t>
      </w:r>
    </w:p>
    <w:p w14:paraId="16C0D922" w14:textId="7EBCE9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F56B80D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CDFCE99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105916E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>Contact:</w:t>
      </w:r>
      <w:r>
        <w:rPr>
          <w:rFonts w:ascii="TKTypeRegular" w:hAnsi="TKTypeRegular"/>
          <w:sz w:val="20"/>
        </w:rPr>
        <w:tab/>
      </w:r>
    </w:p>
    <w:p w14:paraId="7DA91E98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thyssenkrupp Steel Europe AG</w:t>
      </w:r>
    </w:p>
    <w:p w14:paraId="5C07B450" w14:textId="77777777" w:rsidR="00DE2408" w:rsidRPr="00DD4CFC" w:rsidRDefault="00720F11" w:rsidP="00DE2408">
      <w:pPr>
        <w:spacing w:line="288" w:lineRule="auto"/>
        <w:rPr>
          <w:szCs w:val="20"/>
        </w:rPr>
      </w:pPr>
      <w:r>
        <w:t>Public/Media Relations</w:t>
      </w:r>
    </w:p>
    <w:p w14:paraId="2E9D4E16" w14:textId="77777777" w:rsidR="00EE4A53" w:rsidRPr="007A253A" w:rsidRDefault="007A0E3E" w:rsidP="00DE2408">
      <w:pPr>
        <w:spacing w:line="288" w:lineRule="auto"/>
        <w:rPr>
          <w:szCs w:val="20"/>
          <w:lang w:val="de-DE"/>
        </w:rPr>
      </w:pPr>
      <w:r w:rsidRPr="007A253A">
        <w:rPr>
          <w:lang w:val="de-DE"/>
        </w:rPr>
        <w:t>Christine Launert</w:t>
      </w:r>
    </w:p>
    <w:p w14:paraId="63C9607B" w14:textId="77777777" w:rsidR="00EE4A53" w:rsidRPr="007A253A" w:rsidRDefault="00EE4A53" w:rsidP="00DE2408">
      <w:pPr>
        <w:spacing w:line="288" w:lineRule="auto"/>
        <w:rPr>
          <w:szCs w:val="20"/>
          <w:lang w:val="de-DE"/>
        </w:rPr>
      </w:pPr>
      <w:r w:rsidRPr="007A253A">
        <w:rPr>
          <w:lang w:val="de-DE"/>
        </w:rPr>
        <w:t>T: +49 203 52</w:t>
      </w:r>
      <w:r w:rsidRPr="007A253A">
        <w:rPr>
          <w:rFonts w:ascii="Arial" w:hAnsi="Arial"/>
          <w:lang w:val="de-DE"/>
        </w:rPr>
        <w:t> </w:t>
      </w:r>
      <w:r w:rsidRPr="007A253A">
        <w:rPr>
          <w:lang w:val="de-DE"/>
        </w:rPr>
        <w:t>-</w:t>
      </w:r>
      <w:r w:rsidRPr="007A253A">
        <w:rPr>
          <w:rFonts w:ascii="Arial" w:hAnsi="Arial"/>
          <w:lang w:val="de-DE"/>
        </w:rPr>
        <w:t> </w:t>
      </w:r>
      <w:r w:rsidRPr="007A253A">
        <w:rPr>
          <w:lang w:val="de-DE"/>
        </w:rPr>
        <w:t xml:space="preserve">47270 </w:t>
      </w:r>
    </w:p>
    <w:p w14:paraId="3F873B41" w14:textId="7227B73E" w:rsidR="00EE4A53" w:rsidRPr="007A253A" w:rsidRDefault="00420E4C" w:rsidP="00DE2408">
      <w:pPr>
        <w:spacing w:line="288" w:lineRule="auto"/>
        <w:rPr>
          <w:szCs w:val="20"/>
          <w:lang w:val="de-DE"/>
        </w:rPr>
      </w:pPr>
      <w:hyperlink r:id="rId11" w:history="1">
        <w:r w:rsidR="00FD5A0B" w:rsidRPr="007A253A">
          <w:rPr>
            <w:rStyle w:val="Hyperlink"/>
            <w:lang w:val="de-DE"/>
          </w:rPr>
          <w:t>christine.launert@thyssenkrupp.com</w:t>
        </w:r>
      </w:hyperlink>
    </w:p>
    <w:p w14:paraId="41F90E05" w14:textId="78ADC340" w:rsidR="000E4071" w:rsidRDefault="00420E4C" w:rsidP="00720F11">
      <w:pPr>
        <w:spacing w:line="288" w:lineRule="auto"/>
        <w:rPr>
          <w:rStyle w:val="Hyperlink"/>
        </w:rPr>
      </w:pPr>
      <w:hyperlink r:id="rId12" w:history="1">
        <w:r w:rsidR="00FD5A0B">
          <w:rPr>
            <w:rStyle w:val="Hyperlink"/>
          </w:rPr>
          <w:t>www.thyssenkrupp-steel.com</w:t>
        </w:r>
      </w:hyperlink>
    </w:p>
    <w:p w14:paraId="0A9BB4C1" w14:textId="77777777" w:rsidR="000E3852" w:rsidRPr="00720F11" w:rsidRDefault="000E3852" w:rsidP="00720F11">
      <w:pPr>
        <w:spacing w:line="288" w:lineRule="auto"/>
        <w:rPr>
          <w:color w:val="0563C1" w:themeColor="hyperlink"/>
          <w:u w:val="single"/>
          <w:lang w:val="fr-FR"/>
        </w:rPr>
      </w:pPr>
    </w:p>
    <w:sectPr w:rsidR="000E3852" w:rsidRPr="00720F11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37AC" w14:textId="77777777" w:rsidR="00420E4C" w:rsidRDefault="00420E4C" w:rsidP="005B5ABA">
      <w:pPr>
        <w:spacing w:line="240" w:lineRule="auto"/>
      </w:pPr>
      <w:r>
        <w:separator/>
      </w:r>
    </w:p>
  </w:endnote>
  <w:endnote w:type="continuationSeparator" w:id="0">
    <w:p w14:paraId="10C8931A" w14:textId="77777777" w:rsidR="00420E4C" w:rsidRDefault="00420E4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Calibri"/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321A" w14:textId="77777777" w:rsidR="00040FF0" w:rsidRDefault="005A1A95">
    <w:pPr>
      <w:pStyle w:val="Fuzeile"/>
    </w:pPr>
    <w:r>
      <w:rPr>
        <w:noProof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717ADDF" wp14:editId="0275FA90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8CAFAB" w14:textId="77777777" w:rsidR="00AC7BA6" w:rsidRPr="00754EB3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r w:rsidRPr="00754EB3">
                            <w:rPr>
                              <w:rFonts w:asciiTheme="majorHAnsi" w:hAnsiTheme="majorHAnsi"/>
                              <w:lang w:val="de-DE"/>
                            </w:rPr>
                            <w:t>thyssenkrupp Steel Europe AG, Kaiser-Wilhelm-</w:t>
                          </w:r>
                          <w:proofErr w:type="spellStart"/>
                          <w:r w:rsidRPr="00754EB3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754EB3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T: +49 203 52 -25168, press-steel@thyssenkrupp.com, www.thyssenkrupp-steel.com</w:t>
                          </w:r>
                        </w:p>
                        <w:p w14:paraId="3B3BF270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</w:p>
                        <w:p w14:paraId="05D078D3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Executive Board: Bernhard Osburg, Chief Executive; Dr.-Ing. Heike Denecke-Arnold, Carsten Evers, Markus Grolms, Dr.-Ing. Arnd Köfler</w:t>
                          </w:r>
                        </w:p>
                        <w:p w14:paraId="29B7EABB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 of the company: Duisburg, Register Court: Duisburg HR B 9326, VAT ID no.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17ADDF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078CAFAB" w14:textId="77777777" w:rsidR="00AC7BA6" w:rsidRPr="00754EB3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r w:rsidRPr="00754EB3">
                      <w:rPr>
                        <w:rFonts w:asciiTheme="majorHAnsi" w:hAnsiTheme="majorHAnsi"/>
                        <w:lang w:val="de-DE"/>
                      </w:rPr>
                      <w:t>thyssenkrupp Steel Europe AG, Kaiser-Wilhelm-</w:t>
                    </w:r>
                    <w:proofErr w:type="spellStart"/>
                    <w:r w:rsidRPr="00754EB3">
                      <w:rPr>
                        <w:rFonts w:asciiTheme="majorHAnsi" w:hAnsiTheme="majorHAnsi"/>
                        <w:lang w:val="de-DE"/>
                      </w:rPr>
                      <w:t>Strasse</w:t>
                    </w:r>
                    <w:proofErr w:type="spellEnd"/>
                    <w:r w:rsidRPr="00754EB3">
                      <w:rPr>
                        <w:rFonts w:asciiTheme="majorHAnsi" w:hAnsiTheme="majorHAnsi"/>
                        <w:lang w:val="de-DE"/>
                      </w:rPr>
                      <w:t xml:space="preserve"> 100, 47166 Duisburg, Germany, T: +49 203 52 -25168, press-steel@thyssenkrupp.com, www.thyssenkrupp-steel.com</w:t>
                    </w:r>
                  </w:p>
                  <w:p w14:paraId="3B3BF270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Chairman of the Supervisory Board: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Sigmar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Gabriel</w:t>
                    </w:r>
                  </w:p>
                  <w:p w14:paraId="05D078D3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>Executive Board: Bernhard Osburg, Chief Executive; Dr.-Ing. Heike Denecke-Arnold, Carsten Evers, Markus Grolms, Dr.-Ing. Arnd Köfler</w:t>
                    </w:r>
                  </w:p>
                  <w:p w14:paraId="29B7EABB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Registered office of the company: Duisburg, Register Court: Duisburg HR B 9326, VAT ID no.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C463" w14:textId="77777777" w:rsidR="00AF75F1" w:rsidRDefault="007D3550">
    <w:pPr>
      <w:pStyle w:val="Fuzeile"/>
    </w:pPr>
    <w:r>
      <w:rPr>
        <w:noProof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6B14A85A" wp14:editId="128B6F2C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E80CE9" w14:textId="77777777" w:rsidR="009772C9" w:rsidRPr="00754EB3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r w:rsidRPr="00754EB3">
                            <w:rPr>
                              <w:rFonts w:asciiTheme="majorHAnsi" w:hAnsiTheme="majorHAnsi"/>
                              <w:lang w:val="de-DE"/>
                            </w:rPr>
                            <w:t>thyssenkrupp Steel Europe AG, Kaiser-Wilhelm-</w:t>
                          </w:r>
                          <w:proofErr w:type="spellStart"/>
                          <w:r w:rsidRPr="00754EB3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754EB3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T: +49 203 52 -25168, press-steel@thyssenkrupp.com, www.thyssenkrupp-steel.com</w:t>
                          </w:r>
                        </w:p>
                        <w:p w14:paraId="754417DD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</w:p>
                        <w:p w14:paraId="50547597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Executive Board: Bernhard Osburg, Chief Executive; Dr.-Ing. Heike Denecke-Arnold, Carsten Evers, Markus Grolms, Dr.-Ing. Arnd Köfler</w:t>
                          </w:r>
                        </w:p>
                        <w:p w14:paraId="533008E2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 of the company: Duisburg, Register Court: Duisburg HR B 9326, VAT ID no.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4A85A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24E80CE9" w14:textId="77777777" w:rsidR="009772C9" w:rsidRPr="00754EB3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r w:rsidRPr="00754EB3">
                      <w:rPr>
                        <w:rFonts w:asciiTheme="majorHAnsi" w:hAnsiTheme="majorHAnsi"/>
                        <w:lang w:val="de-DE"/>
                      </w:rPr>
                      <w:t>thyssenkrupp Steel Europe AG, Kaiser-Wilhelm-</w:t>
                    </w:r>
                    <w:proofErr w:type="spellStart"/>
                    <w:r w:rsidRPr="00754EB3">
                      <w:rPr>
                        <w:rFonts w:asciiTheme="majorHAnsi" w:hAnsiTheme="majorHAnsi"/>
                        <w:lang w:val="de-DE"/>
                      </w:rPr>
                      <w:t>Strasse</w:t>
                    </w:r>
                    <w:proofErr w:type="spellEnd"/>
                    <w:r w:rsidRPr="00754EB3">
                      <w:rPr>
                        <w:rFonts w:asciiTheme="majorHAnsi" w:hAnsiTheme="majorHAnsi"/>
                        <w:lang w:val="de-DE"/>
                      </w:rPr>
                      <w:t xml:space="preserve"> 100, 47166 Duisburg, Germany, T: +49 203 52 -25168, press-steel@thyssenkrupp.com, www.thyssenkrupp-steel.com</w:t>
                    </w:r>
                  </w:p>
                  <w:p w14:paraId="754417DD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Chairman of the Supervisory Board: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Sigmar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Gabriel</w:t>
                    </w:r>
                  </w:p>
                  <w:p w14:paraId="50547597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>Executive Board: Bernhard Osburg, Chief Executive; Dr.-Ing. Heike Denecke-Arnold, Carsten Evers, Markus Grolms, Dr.-Ing. Arnd Köfler</w:t>
                    </w:r>
                  </w:p>
                  <w:p w14:paraId="533008E2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Registered office of the company: Duisburg, Register Court: Duisburg HR B 9326, VAT ID no.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12A1" w14:textId="77777777" w:rsidR="00420E4C" w:rsidRDefault="00420E4C" w:rsidP="005B5ABA">
      <w:pPr>
        <w:spacing w:line="240" w:lineRule="auto"/>
      </w:pPr>
      <w:r>
        <w:separator/>
      </w:r>
    </w:p>
  </w:footnote>
  <w:footnote w:type="continuationSeparator" w:id="0">
    <w:p w14:paraId="7E2416B2" w14:textId="77777777" w:rsidR="00420E4C" w:rsidRDefault="00420E4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2A1D" w14:textId="77777777" w:rsidR="005B5ABA" w:rsidRDefault="00CA4CEB" w:rsidP="008D3DFA">
    <w:pPr>
      <w:pStyle w:val="Kopfzeile"/>
      <w:spacing w:after="870" w:line="280" w:lineRule="atLeast"/>
    </w:pPr>
    <w:r>
      <w:rPr>
        <w:noProof/>
      </w:rPr>
      <w:drawing>
        <wp:anchor distT="0" distB="0" distL="114300" distR="114300" simplePos="0" relativeHeight="251675648" behindDoc="1" locked="0" layoutInCell="1" allowOverlap="1" wp14:anchorId="7B4B5822" wp14:editId="1480FAF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290E94" wp14:editId="492121BA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34A2CF" w14:textId="407315F8" w:rsidR="00E67FF9" w:rsidRPr="001E7E0A" w:rsidRDefault="00E8743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B4DA5">
                            <w:rPr>
                              <w:noProof/>
                            </w:rPr>
                            <w:t>25 October 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0569F0A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0E4071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290E94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0A34A2CF" w14:textId="407315F8" w:rsidR="00E67FF9" w:rsidRPr="001E7E0A" w:rsidRDefault="00E8743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B4DA5">
                      <w:rPr>
                        <w:noProof/>
                      </w:rPr>
                      <w:t>25 October 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0569F0A" w14:textId="77777777" w:rsidR="00E67FF9" w:rsidRDefault="00490007" w:rsidP="00A70ED2">
                    <w:pPr>
                      <w:pStyle w:val="Seitenzahlangabe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0E4071"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173F" w14:textId="77777777" w:rsidR="002D1B27" w:rsidRDefault="00CA4CEB">
    <w:pPr>
      <w:pStyle w:val="Kopfzeil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31A22C9" wp14:editId="1CB51C8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Press release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4.5pt;height:4.5pt" o:bullet="t">
        <v:imagedata r:id="rId1" o:title="Bullet_blau_RGB_klein"/>
      </v:shape>
    </w:pict>
  </w:numPicBullet>
  <w:numPicBullet w:numPicBulletId="1">
    <w:pict>
      <v:shape id="_x0000_i1199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88515C4"/>
    <w:multiLevelType w:val="multilevel"/>
    <w:tmpl w:val="6AB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54223"/>
    <w:multiLevelType w:val="hybridMultilevel"/>
    <w:tmpl w:val="D016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12"/>
  </w:num>
  <w:num w:numId="6">
    <w:abstractNumId w:val="7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10"/>
  </w:num>
  <w:num w:numId="21">
    <w:abstractNumId w:val="6"/>
  </w:num>
  <w:num w:numId="22">
    <w:abstractNumId w:val="1"/>
  </w:num>
  <w:num w:numId="23">
    <w:abstractNumId w:val="9"/>
  </w:num>
  <w:num w:numId="24">
    <w:abstractNumId w:val="5"/>
  </w:num>
  <w:num w:numId="25">
    <w:abstractNumId w:val="11"/>
  </w:num>
  <w:num w:numId="26">
    <w:abstractNumId w:val="14"/>
  </w:num>
  <w:num w:numId="27">
    <w:abstractNumId w:val="20"/>
  </w:num>
  <w:num w:numId="28">
    <w:abstractNumId w:val="17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FC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3852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87E"/>
    <w:rsid w:val="001769C1"/>
    <w:rsid w:val="00177C94"/>
    <w:rsid w:val="00185574"/>
    <w:rsid w:val="001861FA"/>
    <w:rsid w:val="001918E3"/>
    <w:rsid w:val="001958FF"/>
    <w:rsid w:val="001A259A"/>
    <w:rsid w:val="001A5AAF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52B8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77F6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1854"/>
    <w:rsid w:val="003A2163"/>
    <w:rsid w:val="003A3CFA"/>
    <w:rsid w:val="003A578A"/>
    <w:rsid w:val="003A61FC"/>
    <w:rsid w:val="003B10F1"/>
    <w:rsid w:val="003B1E7E"/>
    <w:rsid w:val="003B516D"/>
    <w:rsid w:val="003C281B"/>
    <w:rsid w:val="003C3F58"/>
    <w:rsid w:val="003F068A"/>
    <w:rsid w:val="003F1CCB"/>
    <w:rsid w:val="00402E5D"/>
    <w:rsid w:val="004123F5"/>
    <w:rsid w:val="004161F1"/>
    <w:rsid w:val="00420E4C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41A4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C49D6"/>
    <w:rsid w:val="004D1918"/>
    <w:rsid w:val="004D4076"/>
    <w:rsid w:val="004D4520"/>
    <w:rsid w:val="004D47DE"/>
    <w:rsid w:val="004E1549"/>
    <w:rsid w:val="004F135C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0D67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A55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4EB3"/>
    <w:rsid w:val="00755DC2"/>
    <w:rsid w:val="00777040"/>
    <w:rsid w:val="00781610"/>
    <w:rsid w:val="00782FD3"/>
    <w:rsid w:val="00783965"/>
    <w:rsid w:val="00785030"/>
    <w:rsid w:val="00787F97"/>
    <w:rsid w:val="007A0E3E"/>
    <w:rsid w:val="007A253A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3559B"/>
    <w:rsid w:val="00841D01"/>
    <w:rsid w:val="008444D5"/>
    <w:rsid w:val="00855504"/>
    <w:rsid w:val="008557F5"/>
    <w:rsid w:val="0085632E"/>
    <w:rsid w:val="00862A37"/>
    <w:rsid w:val="0086617F"/>
    <w:rsid w:val="00874877"/>
    <w:rsid w:val="0087668E"/>
    <w:rsid w:val="008A1BD9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2A5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4174D"/>
    <w:rsid w:val="00B56DC4"/>
    <w:rsid w:val="00B579A7"/>
    <w:rsid w:val="00B61DEE"/>
    <w:rsid w:val="00B70BF6"/>
    <w:rsid w:val="00B745BC"/>
    <w:rsid w:val="00B77C8B"/>
    <w:rsid w:val="00B81FF4"/>
    <w:rsid w:val="00B820A5"/>
    <w:rsid w:val="00B841AF"/>
    <w:rsid w:val="00B846E0"/>
    <w:rsid w:val="00B84D65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CF269B"/>
    <w:rsid w:val="00D003F8"/>
    <w:rsid w:val="00D01FFB"/>
    <w:rsid w:val="00D070AE"/>
    <w:rsid w:val="00D074F2"/>
    <w:rsid w:val="00D17AD6"/>
    <w:rsid w:val="00D21072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5D03"/>
    <w:rsid w:val="00DC62C6"/>
    <w:rsid w:val="00DD114E"/>
    <w:rsid w:val="00DD3094"/>
    <w:rsid w:val="00DD4CFC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3A6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35"/>
    <w:rsid w:val="00E874B9"/>
    <w:rsid w:val="00E87B48"/>
    <w:rsid w:val="00E909AB"/>
    <w:rsid w:val="00E94BD9"/>
    <w:rsid w:val="00E97A69"/>
    <w:rsid w:val="00EA1C66"/>
    <w:rsid w:val="00EA642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4DA5"/>
    <w:rsid w:val="00FB5E94"/>
    <w:rsid w:val="00FC42FA"/>
    <w:rsid w:val="00FC44F7"/>
    <w:rsid w:val="00FD23C7"/>
    <w:rsid w:val="00FD5A0B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9C59D4"/>
  <w15:docId w15:val="{EC850CB2-C3CC-4243-A97C-865B1A7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US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US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D6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D6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D65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B84D65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843F2-30FC-4014-884E-4598481CD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C4688-D48F-4E1D-955B-D8012DF221FA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customXml/itemProps3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F19124-E197-494E-A547-D85BDC25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3</Pages>
  <Words>576</Words>
  <Characters>3519</Characters>
  <Application>Microsoft Office Word</Application>
  <DocSecurity>0</DocSecurity>
  <Lines>76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Euroblech</vt:lpstr>
    </vt:vector>
  </TitlesOfParts>
  <Company>DPI - Dr. PABST International, München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Euroblech</dc:title>
  <dc:subject>Ü de-en</dc:subject>
  <dc:creator>Dr. PABST International</dc:creator>
  <cp:lastModifiedBy>Drüppel-Fink, Claudia</cp:lastModifiedBy>
  <cp:revision>4</cp:revision>
  <cp:lastPrinted>2022-10-25T08:48:00Z</cp:lastPrinted>
  <dcterms:created xsi:type="dcterms:W3CDTF">2022-10-25T05:52:00Z</dcterms:created>
  <dcterms:modified xsi:type="dcterms:W3CDTF">2022-10-25T08:49:00Z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