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759DDFA6" w:rsidR="001E7E0A" w:rsidRDefault="00F40F49" w:rsidP="00DC707F">
            <w:pPr>
              <w:pStyle w:val="Datumsangabe"/>
              <w:spacing w:after="120" w:line="276" w:lineRule="auto"/>
            </w:pPr>
            <w:r>
              <w:t>December 13, 2023</w:t>
            </w:r>
          </w:p>
          <w:p w14:paraId="3F903357" w14:textId="6F96C852" w:rsidR="001E7E0A" w:rsidRPr="0087668E" w:rsidRDefault="001E7E0A" w:rsidP="00DC707F">
            <w:pPr>
              <w:pStyle w:val="Seitenzahlangabe"/>
              <w:spacing w:after="120" w:line="276" w:lineRule="auto"/>
            </w:pPr>
            <w:r>
              <w:t xml:space="preserve">Page </w:t>
            </w:r>
            <w:r w:rsidRPr="0087668E">
              <w:fldChar w:fldCharType="begin"/>
            </w:r>
            <w:r w:rsidRPr="0087668E">
              <w:instrText xml:space="preserve"> PAGE   \* MERGEFORMAT </w:instrText>
            </w:r>
            <w:r w:rsidRPr="0087668E">
              <w:fldChar w:fldCharType="separate"/>
            </w:r>
            <w:r w:rsidR="00884A90">
              <w:rPr>
                <w:noProof/>
              </w:rPr>
              <w:t>1</w:t>
            </w:r>
            <w:r w:rsidRPr="0087668E">
              <w:fldChar w:fldCharType="end"/>
            </w:r>
            <w:r>
              <w:t>/2</w:t>
            </w:r>
          </w:p>
        </w:tc>
      </w:tr>
    </w:tbl>
    <w:p w14:paraId="346FDC19" w14:textId="77777777" w:rsidR="00DE2408" w:rsidRDefault="00DE2408" w:rsidP="00DC707F">
      <w:pPr>
        <w:pStyle w:val="StandardWeb1"/>
        <w:spacing w:after="120" w:line="276" w:lineRule="auto"/>
        <w:jc w:val="both"/>
        <w:rPr>
          <w:rFonts w:ascii="TKTypeRegular" w:hAnsi="TKTypeRegular"/>
          <w:b/>
          <w:sz w:val="20"/>
          <w:szCs w:val="20"/>
        </w:rPr>
      </w:pPr>
    </w:p>
    <w:p w14:paraId="25E2A778" w14:textId="6D698D70" w:rsidR="00747986" w:rsidRDefault="0050663B" w:rsidP="00DC707F">
      <w:pPr>
        <w:pStyle w:val="StandardWeb1"/>
        <w:spacing w:after="120" w:line="276" w:lineRule="auto"/>
        <w:jc w:val="both"/>
        <w:rPr>
          <w:rFonts w:ascii="TKTypeRegular" w:hAnsi="TKTypeRegular"/>
          <w:b/>
          <w:sz w:val="20"/>
          <w:szCs w:val="20"/>
        </w:rPr>
      </w:pPr>
      <w:r>
        <w:rPr>
          <w:rFonts w:ascii="TKTypeRegular" w:hAnsi="TKTypeRegular"/>
          <w:b/>
          <w:sz w:val="20"/>
        </w:rPr>
        <w:t>Start of</w:t>
      </w:r>
      <w:r w:rsidR="006E4542">
        <w:rPr>
          <w:rFonts w:ascii="TKTypeRegular" w:hAnsi="TKTypeRegular"/>
          <w:b/>
          <w:sz w:val="20"/>
        </w:rPr>
        <w:t xml:space="preserve"> </w:t>
      </w:r>
      <w:r w:rsidR="006D4C2B">
        <w:rPr>
          <w:rFonts w:ascii="TKTypeRegular" w:hAnsi="TKTypeRegular"/>
          <w:b/>
          <w:sz w:val="20"/>
        </w:rPr>
        <w:t xml:space="preserve">modernization in the port of Rotterdam: EECV awards Bedeschi the contract </w:t>
      </w:r>
      <w:r w:rsidR="004B2F01">
        <w:rPr>
          <w:rFonts w:ascii="TKTypeRegular" w:hAnsi="TKTypeRegular"/>
          <w:b/>
          <w:sz w:val="20"/>
        </w:rPr>
        <w:t>of</w:t>
      </w:r>
      <w:r w:rsidR="006D4C2B">
        <w:rPr>
          <w:rFonts w:ascii="TKTypeRegular" w:hAnsi="TKTypeRegular"/>
          <w:b/>
          <w:sz w:val="20"/>
        </w:rPr>
        <w:t xml:space="preserve"> delivery of a new ship unloader</w:t>
      </w:r>
    </w:p>
    <w:p w14:paraId="7E6432A0" w14:textId="67DE63E4" w:rsidR="00653A6D" w:rsidRPr="00653A6D" w:rsidRDefault="00653A6D" w:rsidP="00330F70">
      <w:pPr>
        <w:pStyle w:val="Listenabsatz"/>
        <w:numPr>
          <w:ilvl w:val="0"/>
          <w:numId w:val="28"/>
        </w:numPr>
        <w:spacing w:before="100" w:after="120" w:line="276" w:lineRule="auto"/>
        <w:ind w:left="714" w:hanging="357"/>
        <w:contextualSpacing w:val="0"/>
        <w:rPr>
          <w:rFonts w:cstheme="minorHAnsi"/>
          <w:szCs w:val="20"/>
        </w:rPr>
      </w:pPr>
      <w:r>
        <w:t>European high-quality manufacturer Bedeschi produces grab crane for EECV at</w:t>
      </w:r>
      <w:r w:rsidR="0050663B">
        <w:t xml:space="preserve"> </w:t>
      </w:r>
      <w:r>
        <w:t>Rotterdam</w:t>
      </w:r>
      <w:r w:rsidR="0050663B">
        <w:t>-Europoort</w:t>
      </w:r>
    </w:p>
    <w:p w14:paraId="502238E7" w14:textId="50187E4E" w:rsidR="00FE72BA" w:rsidRPr="00FE72BA" w:rsidRDefault="00FE72BA" w:rsidP="00330F70">
      <w:pPr>
        <w:pStyle w:val="Listenabsatz"/>
        <w:numPr>
          <w:ilvl w:val="0"/>
          <w:numId w:val="28"/>
        </w:numPr>
        <w:spacing w:before="100" w:after="120" w:line="276" w:lineRule="auto"/>
        <w:ind w:left="714" w:hanging="357"/>
        <w:contextualSpacing w:val="0"/>
        <w:rPr>
          <w:rFonts w:cstheme="minorHAnsi"/>
          <w:szCs w:val="20"/>
        </w:rPr>
      </w:pPr>
      <w:r>
        <w:t>With a height of 77 meters the ship unloader is one of the largest in its class</w:t>
      </w:r>
    </w:p>
    <w:p w14:paraId="5CB3E3DA" w14:textId="451AE75E" w:rsidR="0054504C" w:rsidRPr="00833D6E" w:rsidRDefault="00DE6364" w:rsidP="00330F70">
      <w:pPr>
        <w:pStyle w:val="xmsonormal"/>
        <w:numPr>
          <w:ilvl w:val="0"/>
          <w:numId w:val="28"/>
        </w:numPr>
        <w:spacing w:before="100" w:after="120" w:line="276" w:lineRule="auto"/>
        <w:ind w:left="714" w:hanging="357"/>
        <w:jc w:val="both"/>
        <w:rPr>
          <w:rFonts w:asciiTheme="minorHAnsi" w:hAnsiTheme="minorHAnsi" w:cstheme="minorHAnsi"/>
          <w:color w:val="000000" w:themeColor="text1"/>
          <w:sz w:val="20"/>
          <w:szCs w:val="20"/>
        </w:rPr>
      </w:pPr>
      <w:r>
        <w:rPr>
          <w:rFonts w:asciiTheme="minorHAnsi" w:hAnsiTheme="minorHAnsi"/>
          <w:color w:val="000000" w:themeColor="text1"/>
          <w:sz w:val="20"/>
        </w:rPr>
        <w:t>Delivery is planned for the end of 2025 and commissioning in early 2026</w:t>
      </w:r>
    </w:p>
    <w:p w14:paraId="75D13095" w14:textId="77777777" w:rsidR="009379D1" w:rsidRPr="009379D1" w:rsidRDefault="009379D1" w:rsidP="00330F70">
      <w:pPr>
        <w:pStyle w:val="Listenabsatz"/>
        <w:numPr>
          <w:ilvl w:val="0"/>
          <w:numId w:val="28"/>
        </w:numPr>
        <w:spacing w:before="100" w:after="120" w:line="276" w:lineRule="auto"/>
        <w:ind w:left="714" w:hanging="357"/>
        <w:contextualSpacing w:val="0"/>
        <w:rPr>
          <w:rFonts w:cstheme="minorHAnsi"/>
          <w:szCs w:val="20"/>
        </w:rPr>
      </w:pPr>
      <w:r>
        <w:t>thyssenkrupp Steel invests a mid-double-digit million euro amount in modernization of infrastructure at EECV</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5C3229AB" w14:textId="379CB524" w:rsidR="00657F29" w:rsidRPr="00B4215B" w:rsidRDefault="00657F29" w:rsidP="00B4215B">
      <w:pPr>
        <w:spacing w:after="120" w:line="276" w:lineRule="auto"/>
        <w:jc w:val="both"/>
        <w:rPr>
          <w:rFonts w:cstheme="minorHAnsi"/>
          <w:szCs w:val="20"/>
        </w:rPr>
      </w:pPr>
      <w:r>
        <w:t>Rotterdam</w:t>
      </w:r>
      <w:r w:rsidRPr="00E57BC7">
        <w:rPr>
          <w:color w:val="auto"/>
        </w:rPr>
        <w:t xml:space="preserve">, </w:t>
      </w:r>
      <w:r w:rsidR="004B2F01">
        <w:rPr>
          <w:color w:val="auto"/>
        </w:rPr>
        <w:t>in Dezember</w:t>
      </w:r>
      <w:r>
        <w:t xml:space="preserve"> 2023. The supplier for the new ship unloader at Ertsoverslagbedrijf Europoort C.V. (EECV) in the port of Rotterdam has been selected. The contract was awarded to Bedeschi, a leading global provider of solutions for the handling and storage of bulk cargoes. The grab crane has been customized for EECV's requirements, and is scheduled to enter service at the EECV terminal in the port of Rotterdam at the beginning of 2026. It is set to play a key role in the handling </w:t>
      </w:r>
      <w:r w:rsidRPr="00DD0A00">
        <w:t>of</w:t>
      </w:r>
      <w:r>
        <w:t xml:space="preserve"> </w:t>
      </w:r>
      <w:r w:rsidRPr="00DD0A00">
        <w:t>around 24</w:t>
      </w:r>
      <w:r>
        <w:t xml:space="preserve"> million metric tons of </w:t>
      </w:r>
      <w:r w:rsidR="0050663B">
        <w:t>raw materials for steel production</w:t>
      </w:r>
      <w:r>
        <w:t xml:space="preserve"> annually.</w:t>
      </w:r>
    </w:p>
    <w:p w14:paraId="073A4916" w14:textId="77777777" w:rsidR="00B81A32" w:rsidRDefault="00B81A32" w:rsidP="00DC707F">
      <w:pPr>
        <w:pBdr>
          <w:top w:val="nil"/>
          <w:left w:val="nil"/>
          <w:bottom w:val="nil"/>
          <w:right w:val="nil"/>
          <w:between w:val="nil"/>
        </w:pBdr>
        <w:spacing w:after="120" w:line="276" w:lineRule="auto"/>
        <w:jc w:val="both"/>
        <w:rPr>
          <w:rFonts w:cstheme="minorHAnsi"/>
          <w:szCs w:val="20"/>
          <w:lang w:eastAsia="de-DE"/>
        </w:rPr>
      </w:pPr>
    </w:p>
    <w:p w14:paraId="631FBC39" w14:textId="70FBD1A4" w:rsidR="00B81A32" w:rsidRPr="00A86CE9" w:rsidRDefault="00B4215B" w:rsidP="00DC707F">
      <w:pPr>
        <w:pBdr>
          <w:top w:val="nil"/>
          <w:left w:val="nil"/>
          <w:bottom w:val="nil"/>
          <w:right w:val="nil"/>
          <w:between w:val="nil"/>
        </w:pBdr>
        <w:spacing w:after="120" w:line="276" w:lineRule="auto"/>
        <w:jc w:val="both"/>
        <w:rPr>
          <w:rFonts w:cstheme="minorHAnsi"/>
          <w:b/>
          <w:bCs/>
          <w:szCs w:val="20"/>
        </w:rPr>
      </w:pPr>
      <w:r>
        <w:rPr>
          <w:b/>
        </w:rPr>
        <w:t xml:space="preserve">Intensive supplier evaluation </w:t>
      </w:r>
    </w:p>
    <w:p w14:paraId="19B77B08" w14:textId="7F2BEDA9" w:rsidR="003C4F02" w:rsidRDefault="007A29FC" w:rsidP="00F4551A">
      <w:pPr>
        <w:pBdr>
          <w:top w:val="nil"/>
          <w:left w:val="nil"/>
          <w:bottom w:val="nil"/>
          <w:right w:val="nil"/>
          <w:between w:val="nil"/>
        </w:pBdr>
        <w:spacing w:after="120" w:line="276" w:lineRule="auto"/>
        <w:jc w:val="both"/>
        <w:rPr>
          <w:rFonts w:cstheme="minorHAnsi"/>
          <w:szCs w:val="20"/>
        </w:rPr>
      </w:pPr>
      <w:r>
        <w:t xml:space="preserve">The performance profiles of various suppliers were analyzed in detail before the decision was taken in favor of the Italian supplier Bedeschi. "We are delighted to have Bedeschi, an experienced and proven European high-quality manufacturer, as a partner in our project. Bedeschi meets our exacting standards for technical quality, energy efficiency, loading performance and environmental friendliness," says Frank Tazelaar, CEO of EECV and thyssenkrupp Veerhaven, the Dutch logistics subsidiaries of thyssenkrupp Steel. Bedeschi has extensive experience in the development and manufacture of systems, machines, and system solutions for bulk cargo logistics. </w:t>
      </w:r>
    </w:p>
    <w:p w14:paraId="0CBB4464" w14:textId="2B823DA3" w:rsidR="00F90089" w:rsidRDefault="00BC05AA" w:rsidP="00DC707F">
      <w:pPr>
        <w:pBdr>
          <w:top w:val="nil"/>
          <w:left w:val="nil"/>
          <w:bottom w:val="nil"/>
          <w:right w:val="nil"/>
          <w:between w:val="nil"/>
        </w:pBdr>
        <w:spacing w:after="120" w:line="276" w:lineRule="auto"/>
        <w:jc w:val="both"/>
        <w:rPr>
          <w:rFonts w:cstheme="minorHAnsi"/>
          <w:szCs w:val="20"/>
        </w:rPr>
      </w:pPr>
      <w:r>
        <w:t xml:space="preserve">The CEO of Bedeschi, </w:t>
      </w:r>
      <w:r w:rsidR="00786E0E">
        <w:t xml:space="preserve">Rino </w:t>
      </w:r>
      <w:r>
        <w:t xml:space="preserve">Bedeschi, was delighted to receive the order from EECV as a major player in European bulk handling. "Signature of the contract with EECV for one of the largest ship unloading cranes is a testament to Bedeschi's unwavering commitment to advances in material handling technology. </w:t>
      </w:r>
      <w:r w:rsidRPr="000D1E38">
        <w:t>The crane</w:t>
      </w:r>
      <w:r>
        <w:t xml:space="preserve"> not only reflects our engineering expertise, but also underlines our commitment to delivering solutions that redefine industry standards," said Bedeschi. This “ground-breaking project” represents a significant step by Bedeschi on </w:t>
      </w:r>
      <w:r>
        <w:lastRenderedPageBreak/>
        <w:t xml:space="preserve">its path to developing innovations in the field of material handling, and positions the company as a leader in the global market. </w:t>
      </w:r>
    </w:p>
    <w:p w14:paraId="4495D2B4" w14:textId="47DF0C35" w:rsidR="002F5B94" w:rsidRDefault="00C2258D" w:rsidP="00DC707F">
      <w:pPr>
        <w:pBdr>
          <w:top w:val="nil"/>
          <w:left w:val="nil"/>
          <w:bottom w:val="nil"/>
          <w:right w:val="nil"/>
          <w:between w:val="nil"/>
        </w:pBdr>
        <w:spacing w:after="120" w:line="276" w:lineRule="auto"/>
        <w:jc w:val="both"/>
        <w:rPr>
          <w:rFonts w:cstheme="minorHAnsi"/>
          <w:szCs w:val="20"/>
        </w:rPr>
      </w:pPr>
      <w:r>
        <w:t xml:space="preserve">Bedeschi Germany is responsible for the engineering of the ship unloader. </w:t>
      </w:r>
      <w:r w:rsidR="0050663B">
        <w:t>According</w:t>
      </w:r>
      <w:r>
        <w:t xml:space="preserve"> to plan, the ship unloader will be delivered to the quayside at the EECV terminal in Europoort Rotterdam, and assembled by the end of 2025. After a test phase, the new crane is scheduled to go into operation at the beginning of 2026. </w:t>
      </w:r>
    </w:p>
    <w:p w14:paraId="066D38EC" w14:textId="77777777" w:rsidR="0051005F" w:rsidRDefault="0051005F" w:rsidP="00DC707F">
      <w:pPr>
        <w:pBdr>
          <w:top w:val="nil"/>
          <w:left w:val="nil"/>
          <w:bottom w:val="nil"/>
          <w:right w:val="nil"/>
          <w:between w:val="nil"/>
        </w:pBdr>
        <w:spacing w:after="120" w:line="276" w:lineRule="auto"/>
        <w:jc w:val="both"/>
        <w:rPr>
          <w:rFonts w:cstheme="minorHAnsi"/>
          <w:szCs w:val="20"/>
          <w:lang w:eastAsia="de-DE"/>
        </w:rPr>
      </w:pPr>
    </w:p>
    <w:p w14:paraId="23C5F5B9" w14:textId="25AC507F" w:rsidR="002F5B94" w:rsidRPr="0051005F" w:rsidRDefault="0089326E" w:rsidP="00DC707F">
      <w:pPr>
        <w:pBdr>
          <w:top w:val="nil"/>
          <w:left w:val="nil"/>
          <w:bottom w:val="nil"/>
          <w:right w:val="nil"/>
          <w:between w:val="nil"/>
        </w:pBdr>
        <w:spacing w:after="120" w:line="276" w:lineRule="auto"/>
        <w:jc w:val="both"/>
        <w:rPr>
          <w:rFonts w:cstheme="minorHAnsi"/>
          <w:b/>
          <w:bCs/>
          <w:szCs w:val="20"/>
        </w:rPr>
      </w:pPr>
      <w:r>
        <w:rPr>
          <w:b/>
        </w:rPr>
        <w:t xml:space="preserve">Investment in a sustainable supply of raw materials </w:t>
      </w:r>
    </w:p>
    <w:p w14:paraId="78EF51AF" w14:textId="293820E2" w:rsidR="008412EA" w:rsidRPr="008412EA" w:rsidRDefault="008412EA" w:rsidP="008412EA">
      <w:pPr>
        <w:pBdr>
          <w:top w:val="nil"/>
          <w:left w:val="nil"/>
          <w:bottom w:val="nil"/>
          <w:right w:val="nil"/>
          <w:between w:val="nil"/>
        </w:pBdr>
        <w:spacing w:after="120" w:line="276" w:lineRule="auto"/>
        <w:jc w:val="both"/>
        <w:rPr>
          <w:rFonts w:cstheme="minorHAnsi"/>
          <w:szCs w:val="20"/>
        </w:rPr>
      </w:pPr>
      <w:r>
        <w:t xml:space="preserve">By investing a mid-double-digit million euro sum in the new ship unloader, thyssenkrupp Steel is embarking on a program of modernizing the infrastructure at EECV's almost 100-hectare terminal site in the port of Rotterdam, where the logistics company </w:t>
      </w:r>
      <w:r w:rsidRPr="006E78B4">
        <w:t>handles around 24 million metric tons of iron ore and coal per</w:t>
      </w:r>
      <w:r>
        <w:t xml:space="preserve"> year for steel production in the Ruhr region. Replacing one of the four grab cranes with a high-performance model from Bedeschi will also ensure the sustainable supply of raw materials for thyssenkrupp Steel's future climate-friendly steel production.</w:t>
      </w:r>
    </w:p>
    <w:p w14:paraId="5AF46F8D" w14:textId="675DE266" w:rsidR="00F90089" w:rsidRPr="00BD14D7" w:rsidRDefault="008412EA" w:rsidP="008412EA">
      <w:pPr>
        <w:pBdr>
          <w:top w:val="nil"/>
          <w:left w:val="nil"/>
          <w:bottom w:val="nil"/>
          <w:right w:val="nil"/>
          <w:between w:val="nil"/>
        </w:pBdr>
        <w:spacing w:after="120" w:line="276" w:lineRule="auto"/>
        <w:jc w:val="both"/>
        <w:rPr>
          <w:rFonts w:cstheme="minorHAnsi"/>
          <w:strike/>
          <w:szCs w:val="20"/>
        </w:rPr>
      </w:pPr>
      <w:r>
        <w:t>The grab crane from Bedeschi will unload iron ore</w:t>
      </w:r>
      <w:r w:rsidR="0050663B">
        <w:t xml:space="preserve"> and in the first years of operation also coal</w:t>
      </w:r>
      <w:r>
        <w:t>. Its overall height of 77 meters,</w:t>
      </w:r>
      <w:r w:rsidR="00C75BDE">
        <w:t xml:space="preserve"> and</w:t>
      </w:r>
      <w:r>
        <w:t xml:space="preserve"> 98-meter long crane bridge make it one of the largest in its class. With its 21.5-meter rail gauge, the crane achieves a reach of 38 meters on the sea side and 19 meters on the land side. It has a lifting capacity of 60 </w:t>
      </w:r>
      <w:r w:rsidRPr="00BD14D7">
        <w:t>metric</w:t>
      </w:r>
      <w:r>
        <w:t xml:space="preserve"> tons on cables and will be able to unload 2,600 metric tons of iron ore and 1,800 metric tons of coal per hour. </w:t>
      </w:r>
      <w:r w:rsidR="000F362A">
        <w:t>T</w:t>
      </w:r>
      <w:r w:rsidR="00C75BDE" w:rsidRPr="00BD14D7">
        <w:t>he crane ensures reliable performance in the demanding materials handling environment.</w:t>
      </w:r>
    </w:p>
    <w:p w14:paraId="44A7EA44" w14:textId="77777777" w:rsidR="00C25B17" w:rsidRDefault="00C25B17" w:rsidP="00C25B17">
      <w:pPr>
        <w:pBdr>
          <w:top w:val="nil"/>
          <w:left w:val="nil"/>
          <w:bottom w:val="nil"/>
          <w:right w:val="nil"/>
          <w:between w:val="nil"/>
        </w:pBdr>
        <w:spacing w:after="120" w:line="276" w:lineRule="auto"/>
        <w:jc w:val="both"/>
        <w:rPr>
          <w:rFonts w:cstheme="minorHAnsi"/>
          <w:szCs w:val="20"/>
          <w:lang w:eastAsia="de-DE"/>
        </w:rPr>
      </w:pPr>
    </w:p>
    <w:p w14:paraId="022E112E" w14:textId="158FB1E2" w:rsidR="00C25B17" w:rsidRPr="00C25B17" w:rsidRDefault="00C25B17" w:rsidP="00C25B17">
      <w:pPr>
        <w:pBdr>
          <w:top w:val="nil"/>
          <w:left w:val="nil"/>
          <w:bottom w:val="nil"/>
          <w:right w:val="nil"/>
          <w:between w:val="nil"/>
        </w:pBdr>
        <w:spacing w:after="120" w:line="276" w:lineRule="auto"/>
        <w:jc w:val="both"/>
        <w:rPr>
          <w:rFonts w:cstheme="minorHAnsi"/>
          <w:szCs w:val="20"/>
        </w:rPr>
      </w:pPr>
      <w:r>
        <w:t>About EECV:</w:t>
      </w:r>
    </w:p>
    <w:p w14:paraId="7E8A2DD6" w14:textId="77777777" w:rsidR="00C15255" w:rsidRDefault="00C25B17" w:rsidP="00C15255">
      <w:pPr>
        <w:pBdr>
          <w:top w:val="nil"/>
          <w:left w:val="nil"/>
          <w:bottom w:val="nil"/>
          <w:right w:val="nil"/>
          <w:between w:val="nil"/>
        </w:pBdr>
        <w:spacing w:line="276" w:lineRule="auto"/>
        <w:jc w:val="both"/>
      </w:pPr>
      <w:r>
        <w:t>Ertsoverslagbedrijf Europoort C.V. (EECV) is a Dutch logistics subsidiary of thyssenkrupp Steel Europe and Hüttenwerke Krupp Mannesmann. With around 300 employees, the company operates one of Europe's largest and most modern bulk handling facilities and the second largest bulk terminal in the Port of Rotterdam on the approx. 100 hectare terminal site in the Europoort area of the Port of Rotterdam</w:t>
      </w:r>
      <w:r w:rsidR="00C15255">
        <w:t>.</w:t>
      </w:r>
    </w:p>
    <w:p w14:paraId="3C55D572" w14:textId="66AC6421" w:rsidR="00C25B17" w:rsidRPr="00C25B17" w:rsidRDefault="00C25B17" w:rsidP="00C25B17">
      <w:pPr>
        <w:pBdr>
          <w:top w:val="nil"/>
          <w:left w:val="nil"/>
          <w:bottom w:val="nil"/>
          <w:right w:val="nil"/>
          <w:between w:val="nil"/>
        </w:pBdr>
        <w:spacing w:after="120" w:line="276" w:lineRule="auto"/>
        <w:jc w:val="both"/>
        <w:rPr>
          <w:rFonts w:cstheme="minorHAnsi"/>
          <w:szCs w:val="20"/>
        </w:rPr>
      </w:pPr>
      <w:r w:rsidRPr="00FB09F3">
        <w:t>EECV</w:t>
      </w:r>
      <w:r>
        <w:t xml:space="preserve"> handles around 24 million metric tons of iron ore and coal for steel production per year. The push boat shipping company thyssenkrupp Veerhaven transports this material up the Rhine to the Ruhr region. </w:t>
      </w:r>
    </w:p>
    <w:p w14:paraId="2285D1D1" w14:textId="77777777" w:rsidR="00C15255" w:rsidRDefault="00C15255" w:rsidP="00C25B17">
      <w:pPr>
        <w:pBdr>
          <w:top w:val="nil"/>
          <w:left w:val="nil"/>
          <w:bottom w:val="nil"/>
          <w:right w:val="nil"/>
          <w:between w:val="nil"/>
        </w:pBdr>
        <w:spacing w:after="120" w:line="276" w:lineRule="auto"/>
        <w:jc w:val="both"/>
      </w:pPr>
    </w:p>
    <w:p w14:paraId="43EA580C" w14:textId="213C5496" w:rsidR="00C25B17" w:rsidRPr="00C25B17" w:rsidRDefault="00C25B17" w:rsidP="00C25B17">
      <w:pPr>
        <w:pBdr>
          <w:top w:val="nil"/>
          <w:left w:val="nil"/>
          <w:bottom w:val="nil"/>
          <w:right w:val="nil"/>
          <w:between w:val="nil"/>
        </w:pBdr>
        <w:spacing w:after="120" w:line="276" w:lineRule="auto"/>
        <w:jc w:val="both"/>
        <w:rPr>
          <w:rFonts w:cstheme="minorHAnsi"/>
          <w:szCs w:val="20"/>
        </w:rPr>
      </w:pPr>
      <w:r>
        <w:t>About Bedeschi:</w:t>
      </w:r>
    </w:p>
    <w:p w14:paraId="4AC25205" w14:textId="6EADC721" w:rsidR="00DE2408" w:rsidRPr="00E31571" w:rsidRDefault="00E31571" w:rsidP="00DC707F">
      <w:pPr>
        <w:pStyle w:val="StandardWeb1"/>
        <w:spacing w:after="120" w:line="276" w:lineRule="auto"/>
        <w:jc w:val="both"/>
        <w:rPr>
          <w:rFonts w:ascii="TKTypeRegular" w:hAnsi="TKTypeRegular"/>
          <w:sz w:val="20"/>
          <w:szCs w:val="20"/>
        </w:rPr>
      </w:pPr>
      <w:r>
        <w:rPr>
          <w:rFonts w:asciiTheme="minorHAnsi" w:hAnsiTheme="minorHAnsi"/>
          <w:color w:val="000000" w:themeColor="text1"/>
          <w:sz w:val="20"/>
        </w:rPr>
        <w:t>Bedeschi SpA was founded in Padua in 1908 and is today one of the oldest companies in Europe specializing in the development of turnkey solutions for bulk cargoes, container logistics, and the brick and tile industry. Today, the family business is in the hands of the fourth generation. The company's present-day expertise in design, technology, and production is the result of more than 100 years of experience.</w:t>
      </w:r>
    </w:p>
    <w:p w14:paraId="0B2892B6" w14:textId="77777777" w:rsidR="00516D63" w:rsidRDefault="00516D63" w:rsidP="00DC707F">
      <w:pPr>
        <w:pStyle w:val="StandardWeb1"/>
        <w:spacing w:after="120" w:line="276" w:lineRule="auto"/>
        <w:jc w:val="both"/>
        <w:rPr>
          <w:rFonts w:asciiTheme="majorHAnsi" w:hAnsiTheme="majorHAnsi"/>
          <w:sz w:val="20"/>
          <w:szCs w:val="20"/>
        </w:rPr>
      </w:pPr>
    </w:p>
    <w:p w14:paraId="2D3102D1" w14:textId="77777777" w:rsidR="00516D63" w:rsidRDefault="00516D63" w:rsidP="00DC707F">
      <w:pPr>
        <w:pStyle w:val="StandardWeb1"/>
        <w:spacing w:after="120" w:line="276" w:lineRule="auto"/>
        <w:jc w:val="both"/>
        <w:rPr>
          <w:rFonts w:asciiTheme="majorHAnsi" w:hAnsiTheme="majorHAnsi"/>
          <w:sz w:val="20"/>
          <w:szCs w:val="20"/>
        </w:rPr>
      </w:pPr>
    </w:p>
    <w:p w14:paraId="68E129D8" w14:textId="77777777" w:rsidR="00516D63" w:rsidRDefault="00516D63" w:rsidP="00DC707F">
      <w:pPr>
        <w:pStyle w:val="StandardWeb1"/>
        <w:spacing w:after="120" w:line="276" w:lineRule="auto"/>
        <w:jc w:val="both"/>
        <w:rPr>
          <w:rFonts w:asciiTheme="majorHAnsi" w:hAnsiTheme="majorHAnsi"/>
          <w:sz w:val="20"/>
          <w:szCs w:val="20"/>
        </w:rPr>
      </w:pPr>
    </w:p>
    <w:p w14:paraId="1BD16887" w14:textId="75842089" w:rsidR="006E3DAC" w:rsidRPr="00771D1C" w:rsidRDefault="006E3DAC" w:rsidP="00DC707F">
      <w:pPr>
        <w:pStyle w:val="StandardWeb1"/>
        <w:spacing w:after="120" w:line="276" w:lineRule="auto"/>
        <w:jc w:val="both"/>
        <w:rPr>
          <w:rFonts w:asciiTheme="majorHAnsi" w:hAnsiTheme="majorHAnsi"/>
          <w:sz w:val="20"/>
          <w:szCs w:val="20"/>
        </w:rPr>
      </w:pPr>
      <w:r>
        <w:rPr>
          <w:rFonts w:asciiTheme="majorHAnsi" w:hAnsiTheme="majorHAnsi"/>
          <w:sz w:val="20"/>
        </w:rPr>
        <w:t>Contact:</w:t>
      </w:r>
      <w:r>
        <w:rPr>
          <w:rFonts w:asciiTheme="majorHAnsi" w:hAnsiTheme="majorHAnsi"/>
          <w:sz w:val="20"/>
        </w:rPr>
        <w:tab/>
      </w:r>
    </w:p>
    <w:p w14:paraId="4BA3CD4C" w14:textId="46DE3100" w:rsidR="006E3DAC" w:rsidRPr="00771D1C" w:rsidRDefault="006E3DAC" w:rsidP="00DC707F">
      <w:pPr>
        <w:spacing w:after="120" w:line="276" w:lineRule="auto"/>
        <w:rPr>
          <w:rFonts w:asciiTheme="majorHAnsi" w:hAnsiTheme="majorHAnsi"/>
        </w:rPr>
      </w:pPr>
      <w:r>
        <w:rPr>
          <w:rFonts w:asciiTheme="majorHAnsi" w:hAnsiTheme="majorHAnsi"/>
        </w:rPr>
        <w:t>thyssenkrupp Steel Europe AG</w:t>
      </w:r>
    </w:p>
    <w:p w14:paraId="6607B6AC" w14:textId="77777777" w:rsidR="006E3DAC" w:rsidRPr="00771D1C" w:rsidRDefault="006E3DAC" w:rsidP="00DC707F">
      <w:pPr>
        <w:spacing w:after="120" w:line="276" w:lineRule="auto"/>
        <w:rPr>
          <w:rFonts w:asciiTheme="majorHAnsi" w:hAnsiTheme="majorHAnsi"/>
          <w:color w:val="auto"/>
        </w:rPr>
      </w:pPr>
      <w:r>
        <w:rPr>
          <w:rFonts w:asciiTheme="majorHAnsi" w:hAnsiTheme="majorHAnsi"/>
        </w:rPr>
        <w:t>Mark Stagge</w:t>
      </w:r>
    </w:p>
    <w:p w14:paraId="50F7CB0F" w14:textId="77777777" w:rsidR="006E3DAC" w:rsidRPr="00067210" w:rsidRDefault="006E3DAC" w:rsidP="00DC707F">
      <w:pPr>
        <w:spacing w:after="120" w:line="276" w:lineRule="auto"/>
        <w:rPr>
          <w:rFonts w:asciiTheme="majorHAnsi" w:hAnsiTheme="majorHAnsi"/>
        </w:rPr>
      </w:pPr>
      <w:r>
        <w:rPr>
          <w:rFonts w:asciiTheme="majorHAnsi" w:hAnsiTheme="majorHAnsi"/>
        </w:rPr>
        <w:t xml:space="preserve">Head of Public and Media Relations </w:t>
      </w:r>
    </w:p>
    <w:p w14:paraId="4D35F1D7" w14:textId="77777777" w:rsidR="006E3DAC" w:rsidRPr="00786E0E" w:rsidRDefault="006E3DAC" w:rsidP="00DC707F">
      <w:pPr>
        <w:spacing w:after="120" w:line="276" w:lineRule="auto"/>
        <w:rPr>
          <w:rFonts w:asciiTheme="majorHAnsi" w:hAnsiTheme="majorHAnsi"/>
          <w:szCs w:val="20"/>
          <w:lang w:val="de-DE"/>
        </w:rPr>
      </w:pPr>
      <w:r w:rsidRPr="00786E0E">
        <w:rPr>
          <w:rFonts w:asciiTheme="majorHAnsi" w:hAnsiTheme="majorHAnsi"/>
          <w:lang w:val="de-DE"/>
        </w:rPr>
        <w:t>T: +49 203 52</w:t>
      </w:r>
      <w:r w:rsidRPr="00786E0E">
        <w:rPr>
          <w:rFonts w:ascii="Arial" w:hAnsi="Arial"/>
          <w:lang w:val="de-DE"/>
        </w:rPr>
        <w:t> </w:t>
      </w:r>
      <w:r w:rsidRPr="00786E0E">
        <w:rPr>
          <w:rFonts w:asciiTheme="majorHAnsi" w:hAnsiTheme="majorHAnsi"/>
          <w:lang w:val="de-DE"/>
        </w:rPr>
        <w:t>-</w:t>
      </w:r>
      <w:r w:rsidRPr="00786E0E">
        <w:rPr>
          <w:rFonts w:ascii="Arial" w:hAnsi="Arial"/>
          <w:lang w:val="de-DE"/>
        </w:rPr>
        <w:t> </w:t>
      </w:r>
      <w:r w:rsidRPr="00786E0E">
        <w:rPr>
          <w:rFonts w:asciiTheme="majorHAnsi" w:hAnsiTheme="majorHAnsi"/>
          <w:lang w:val="de-DE"/>
        </w:rPr>
        <w:t>25159</w:t>
      </w:r>
    </w:p>
    <w:p w14:paraId="298B9475" w14:textId="48D1EE81" w:rsidR="006E3DAC" w:rsidRPr="00786E0E" w:rsidRDefault="006E4542" w:rsidP="00DC707F">
      <w:pPr>
        <w:spacing w:after="120" w:line="276" w:lineRule="auto"/>
        <w:rPr>
          <w:rFonts w:asciiTheme="majorHAnsi" w:hAnsiTheme="majorHAnsi"/>
          <w:szCs w:val="20"/>
          <w:lang w:val="de-DE"/>
        </w:rPr>
      </w:pPr>
      <w:hyperlink r:id="rId11" w:history="1">
        <w:r w:rsidR="005F13B7" w:rsidRPr="00786E0E">
          <w:rPr>
            <w:rStyle w:val="Hyperlink"/>
            <w:rFonts w:asciiTheme="majorHAnsi" w:hAnsiTheme="majorHAnsi"/>
            <w:lang w:val="de-DE"/>
          </w:rPr>
          <w:t>mark.stagge@thyssenkrupp.com</w:t>
        </w:r>
      </w:hyperlink>
    </w:p>
    <w:p w14:paraId="6ACB0DB0" w14:textId="794772C6" w:rsidR="006E3DAC" w:rsidRPr="00786E0E" w:rsidRDefault="006E4542" w:rsidP="00DC707F">
      <w:pPr>
        <w:spacing w:after="120" w:line="276" w:lineRule="auto"/>
        <w:rPr>
          <w:rFonts w:asciiTheme="majorHAnsi" w:hAnsiTheme="majorHAnsi"/>
          <w:color w:val="0563C1" w:themeColor="hyperlink"/>
          <w:u w:val="single"/>
          <w:lang w:val="de-DE"/>
        </w:rPr>
      </w:pPr>
      <w:hyperlink r:id="rId12" w:history="1">
        <w:r w:rsidR="005F13B7" w:rsidRPr="00786E0E">
          <w:rPr>
            <w:rStyle w:val="Hyperlink"/>
            <w:rFonts w:asciiTheme="majorHAnsi" w:hAnsiTheme="majorHAnsi"/>
            <w:lang w:val="de-DE"/>
          </w:rPr>
          <w:t>www.thyssenkrupp-steel.com</w:t>
        </w:r>
      </w:hyperlink>
    </w:p>
    <w:p w14:paraId="48923AB0" w14:textId="77777777" w:rsidR="007C7824" w:rsidRPr="00786E0E" w:rsidRDefault="007C7824" w:rsidP="00DC707F">
      <w:pPr>
        <w:spacing w:after="120" w:line="276" w:lineRule="auto"/>
        <w:rPr>
          <w:szCs w:val="20"/>
          <w:lang w:val="de-DE"/>
        </w:rPr>
      </w:pPr>
    </w:p>
    <w:p w14:paraId="2CE2439C" w14:textId="77777777" w:rsidR="00DE2408" w:rsidRPr="00786E0E" w:rsidRDefault="007C7824" w:rsidP="00DC707F">
      <w:pPr>
        <w:tabs>
          <w:tab w:val="left" w:pos="5475"/>
        </w:tabs>
        <w:spacing w:after="120" w:line="276" w:lineRule="auto"/>
        <w:rPr>
          <w:szCs w:val="20"/>
          <w:lang w:val="de-DE"/>
        </w:rPr>
      </w:pPr>
      <w:r w:rsidRPr="00786E0E">
        <w:rPr>
          <w:lang w:val="de-DE"/>
        </w:rPr>
        <w:tab/>
      </w:r>
    </w:p>
    <w:sectPr w:rsidR="00DE2408" w:rsidRPr="00786E0E"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0522" w14:textId="77777777" w:rsidR="00A24B76" w:rsidRDefault="00A24B76" w:rsidP="005B5ABA">
      <w:pPr>
        <w:spacing w:line="240" w:lineRule="auto"/>
      </w:pPr>
      <w:r>
        <w:separator/>
      </w:r>
    </w:p>
  </w:endnote>
  <w:endnote w:type="continuationSeparator" w:id="0">
    <w:p w14:paraId="5EC01633" w14:textId="77777777" w:rsidR="00A24B76" w:rsidRDefault="00A24B76" w:rsidP="005B5ABA">
      <w:pPr>
        <w:spacing w:line="240" w:lineRule="auto"/>
      </w:pPr>
      <w:r>
        <w:continuationSeparator/>
      </w:r>
    </w:p>
  </w:endnote>
  <w:endnote w:type="continuationNotice" w:id="1">
    <w:p w14:paraId="1B83B17F" w14:textId="77777777" w:rsidR="00A24B76" w:rsidRDefault="00A24B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C15255" w:rsidRDefault="00771D1C" w:rsidP="00771D1C">
                          <w:pPr>
                            <w:pStyle w:val="Fuzeile"/>
                            <w:rPr>
                              <w:rFonts w:asciiTheme="majorHAnsi" w:hAnsiTheme="majorHAnsi"/>
                              <w:szCs w:val="14"/>
                              <w:lang w:val="de-DE"/>
                            </w:rPr>
                          </w:pPr>
                          <w:r w:rsidRPr="00C15255">
                            <w:rPr>
                              <w:rFonts w:asciiTheme="majorHAnsi" w:hAnsiTheme="majorHAnsi"/>
                              <w:lang w:val="de-DE"/>
                            </w:rPr>
                            <w:t>thyssenkrupp Steel Europe AG, Kaiser-Wilhelm-Strasse 100, 47166 Duisburg, Germany, T: +49 203 52 -25168, press-steel@thyssenkrupp.com, www.thyssenkrupp-steel.com</w:t>
                          </w:r>
                        </w:p>
                        <w:p w14:paraId="0AB70C69" w14:textId="77777777" w:rsidR="00771D1C" w:rsidRPr="009C4759" w:rsidRDefault="00771D1C" w:rsidP="00771D1C">
                          <w:pPr>
                            <w:pStyle w:val="Fuzeile"/>
                            <w:rPr>
                              <w:rFonts w:asciiTheme="majorHAnsi" w:hAnsiTheme="majorHAnsi"/>
                              <w:szCs w:val="14"/>
                            </w:rPr>
                          </w:pPr>
                          <w:r>
                            <w:rPr>
                              <w:rFonts w:asciiTheme="majorHAnsi" w:hAnsiTheme="majorHAnsi"/>
                            </w:rPr>
                            <w:t>Chairman of the Supervisory Board: Sigmar Gabriel</w:t>
                          </w:r>
                        </w:p>
                        <w:p w14:paraId="2B63DDE8" w14:textId="77777777" w:rsidR="00771D1C" w:rsidRPr="009C4759" w:rsidRDefault="00771D1C" w:rsidP="00771D1C">
                          <w:pPr>
                            <w:pStyle w:val="Fuzeile"/>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3144C4E1" w14:textId="77777777" w:rsidR="00771D1C" w:rsidRDefault="00771D1C" w:rsidP="00771D1C">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C15255" w:rsidRDefault="00771D1C" w:rsidP="00771D1C">
                    <w:pPr>
                      <w:pStyle w:val="Pidipagina"/>
                      <w:rPr>
                        <w:rFonts w:asciiTheme="majorHAnsi" w:hAnsiTheme="majorHAnsi"/>
                        <w:szCs w:val="14"/>
                        <w:lang w:val="de-DE"/>
                      </w:rPr>
                    </w:pPr>
                    <w:r w:rsidRPr="00C15255">
                      <w:rPr>
                        <w:rFonts w:asciiTheme="majorHAnsi" w:hAnsiTheme="majorHAnsi"/>
                        <w:lang w:val="de-DE"/>
                      </w:rPr>
                      <w:t>thyssenkrupp Steel Europe AG, Kaiser-Wilhelm-Strasse 100, 47166 Duisburg, Germany, T: +49 203 52 -25168, press-steel@thyssenkrupp.com, www.thyssenkrupp-steel.com</w:t>
                    </w:r>
                  </w:p>
                  <w:p w14:paraId="0AB70C69" w14:textId="77777777" w:rsidR="00771D1C" w:rsidRPr="009C4759" w:rsidRDefault="00771D1C" w:rsidP="00771D1C">
                    <w:pPr>
                      <w:pStyle w:val="Pidipagina"/>
                      <w:rPr>
                        <w:rFonts w:asciiTheme="majorHAnsi" w:hAnsiTheme="majorHAnsi"/>
                        <w:szCs w:val="14"/>
                      </w:rPr>
                    </w:pPr>
                    <w:r>
                      <w:rPr>
                        <w:rFonts w:asciiTheme="majorHAnsi" w:hAnsiTheme="majorHAnsi"/>
                      </w:rPr>
                      <w:t>Chairman of the Supervisory Board: Sigmar Gabriel</w:t>
                    </w:r>
                  </w:p>
                  <w:p w14:paraId="2B63DDE8" w14:textId="77777777" w:rsidR="00771D1C" w:rsidRPr="009C4759" w:rsidRDefault="00771D1C" w:rsidP="00771D1C">
                    <w:pPr>
                      <w:pStyle w:val="Pidipagina"/>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3144C4E1" w14:textId="77777777" w:rsidR="00771D1C" w:rsidRDefault="00771D1C" w:rsidP="00771D1C">
                    <w:pPr>
                      <w:pStyle w:val="Pidipagina"/>
                      <w:rPr>
                        <w:rFonts w:asciiTheme="majorHAnsi" w:hAnsiTheme="majorHAnsi"/>
                        <w:szCs w:val="14"/>
                      </w:rPr>
                    </w:pPr>
                    <w:r>
                      <w:rPr>
                        <w:rFonts w:asciiTheme="majorHAnsi" w:hAnsiTheme="majorHAnsi"/>
                      </w:rPr>
                      <w:t>Registered office of the company: Duisburg, Register Court: Duisburg HR B 9326, VAT ID no. DE 812 178 585</w:t>
                    </w:r>
                  </w:p>
                  <w:p w14:paraId="60B95284" w14:textId="77777777" w:rsidR="005A1A95" w:rsidRPr="00AF75F1" w:rsidRDefault="005A1A95" w:rsidP="005A1A95">
                    <w:pPr>
                      <w:pStyle w:val="Pidipagina"/>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C15255" w:rsidRDefault="00F048A2" w:rsidP="00F048A2">
                          <w:pPr>
                            <w:pStyle w:val="Fuzeile"/>
                            <w:rPr>
                              <w:rFonts w:asciiTheme="majorHAnsi" w:hAnsiTheme="majorHAnsi"/>
                              <w:szCs w:val="14"/>
                              <w:lang w:val="de-DE"/>
                            </w:rPr>
                          </w:pPr>
                          <w:r w:rsidRPr="00C15255">
                            <w:rPr>
                              <w:rFonts w:asciiTheme="majorHAnsi" w:hAnsiTheme="majorHAnsi"/>
                              <w:lang w:val="de-DE"/>
                            </w:rPr>
                            <w:t>thyssenkrupp Steel Europe AG, Kaiser-Wilhelm-Strasse 100, 47166 Duisburg, Germany, T: +49 203 52 -25168, press-steel@thyssenkrupp.com, www.thyssenkrupp-steel.com</w:t>
                          </w:r>
                        </w:p>
                        <w:p w14:paraId="4D62FA82" w14:textId="77777777" w:rsidR="00F048A2" w:rsidRPr="009C4759" w:rsidRDefault="00F048A2" w:rsidP="00F048A2">
                          <w:pPr>
                            <w:pStyle w:val="Fuzeile"/>
                            <w:rPr>
                              <w:rFonts w:asciiTheme="majorHAnsi" w:hAnsiTheme="majorHAnsi"/>
                              <w:szCs w:val="14"/>
                            </w:rPr>
                          </w:pPr>
                          <w:r>
                            <w:rPr>
                              <w:rFonts w:asciiTheme="majorHAnsi" w:hAnsiTheme="majorHAnsi"/>
                            </w:rPr>
                            <w:t>Chairman of the Supervisory Board: Sigmar Gabriel</w:t>
                          </w:r>
                        </w:p>
                        <w:p w14:paraId="69312318" w14:textId="78301F3B" w:rsidR="00F048A2" w:rsidRPr="009C4759" w:rsidRDefault="00F048A2" w:rsidP="00F048A2">
                          <w:pPr>
                            <w:pStyle w:val="Fuzeile"/>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1D1C2FB4"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C15255" w:rsidRDefault="00F048A2" w:rsidP="00F048A2">
                    <w:pPr>
                      <w:pStyle w:val="Pidipagina"/>
                      <w:rPr>
                        <w:rFonts w:asciiTheme="majorHAnsi" w:hAnsiTheme="majorHAnsi"/>
                        <w:szCs w:val="14"/>
                        <w:lang w:val="de-DE"/>
                      </w:rPr>
                    </w:pPr>
                    <w:r w:rsidRPr="00C15255">
                      <w:rPr>
                        <w:rFonts w:asciiTheme="majorHAnsi" w:hAnsiTheme="majorHAnsi"/>
                        <w:lang w:val="de-DE"/>
                      </w:rPr>
                      <w:t>thyssenkrupp Steel Europe AG, Kaiser-Wilhelm-Strasse 100, 47166 Duisburg, Germany, T: +49 203 52 -25168, press-steel@thyssenkrupp.com, www.thyssenkrupp-steel.com</w:t>
                    </w:r>
                  </w:p>
                  <w:p w14:paraId="4D62FA82" w14:textId="77777777" w:rsidR="00F048A2" w:rsidRPr="009C4759" w:rsidRDefault="00F048A2" w:rsidP="00F048A2">
                    <w:pPr>
                      <w:pStyle w:val="Pidipagina"/>
                      <w:rPr>
                        <w:rFonts w:asciiTheme="majorHAnsi" w:hAnsiTheme="majorHAnsi"/>
                        <w:szCs w:val="14"/>
                      </w:rPr>
                    </w:pPr>
                    <w:r>
                      <w:rPr>
                        <w:rFonts w:asciiTheme="majorHAnsi" w:hAnsiTheme="majorHAnsi"/>
                      </w:rPr>
                      <w:t>Chairman of the Supervisory Board: Sigmar Gabriel</w:t>
                    </w:r>
                  </w:p>
                  <w:p w14:paraId="69312318" w14:textId="78301F3B" w:rsidR="00F048A2" w:rsidRPr="009C4759" w:rsidRDefault="00F048A2" w:rsidP="00F048A2">
                    <w:pPr>
                      <w:pStyle w:val="Pidipagina"/>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1D1C2FB4" w14:textId="77777777" w:rsidR="00F048A2" w:rsidRDefault="00F048A2" w:rsidP="00F048A2">
                    <w:pPr>
                      <w:pStyle w:val="Pidipagina"/>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Pidipagina"/>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F607" w14:textId="77777777" w:rsidR="00A24B76" w:rsidRDefault="00A24B76" w:rsidP="005B5ABA">
      <w:pPr>
        <w:spacing w:line="240" w:lineRule="auto"/>
      </w:pPr>
      <w:r>
        <w:separator/>
      </w:r>
    </w:p>
  </w:footnote>
  <w:footnote w:type="continuationSeparator" w:id="0">
    <w:p w14:paraId="6F713631" w14:textId="77777777" w:rsidR="00A24B76" w:rsidRDefault="00A24B76" w:rsidP="005B5ABA">
      <w:pPr>
        <w:spacing w:line="240" w:lineRule="auto"/>
      </w:pPr>
      <w:r>
        <w:continuationSeparator/>
      </w:r>
    </w:p>
  </w:footnote>
  <w:footnote w:type="continuationNotice" w:id="1">
    <w:p w14:paraId="54C3F2BA" w14:textId="77777777" w:rsidR="00A24B76" w:rsidRDefault="00A24B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67BC6D6C" w:rsidR="00E67FF9" w:rsidRPr="001E7E0A" w:rsidRDefault="00F40F49" w:rsidP="001E7E0A">
                          <w:pPr>
                            <w:pStyle w:val="Datumsangabe"/>
                          </w:pPr>
                          <w:fldSimple w:instr=" STYLEREF  Datumsangabe  \* MERGEFORMAT ">
                            <w:r w:rsidR="006E4542">
                              <w:rPr>
                                <w:noProof/>
                              </w:rPr>
                              <w:t>December 13, 2023</w:t>
                            </w:r>
                          </w:fldSimple>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67BC6D6C" w:rsidR="00E67FF9" w:rsidRPr="001E7E0A" w:rsidRDefault="00F40F49" w:rsidP="001E7E0A">
                    <w:pPr>
                      <w:pStyle w:val="Datumsangabe"/>
                    </w:pPr>
                    <w:fldSimple w:instr=" STYLEREF  Datumsangabe  \* MERGEFORMAT ">
                      <w:r w:rsidR="006E4542">
                        <w:rPr>
                          <w:noProof/>
                        </w:rPr>
                        <w:t>December 13, 2023</w:t>
                      </w:r>
                    </w:fldSimple>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7pt" o:bullet="t">
        <v:imagedata r:id="rId1" o:title="Bullet_blau_RGB_klein"/>
      </v:shape>
    </w:pict>
  </w:numPicBullet>
  <w:numPicBullet w:numPicBulletId="1">
    <w:pict>
      <v:shape id="_x0000_i1027" type="#_x0000_t75" style="width:2.7pt;height:2.7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hdrShapeDefaults>
    <o:shapedefaults v:ext="edit" spidmax="71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6719"/>
    <w:rsid w:val="00056B18"/>
    <w:rsid w:val="0006281E"/>
    <w:rsid w:val="00064D40"/>
    <w:rsid w:val="000659DC"/>
    <w:rsid w:val="00065D3B"/>
    <w:rsid w:val="000677D4"/>
    <w:rsid w:val="00067B08"/>
    <w:rsid w:val="00077C9C"/>
    <w:rsid w:val="00077DFC"/>
    <w:rsid w:val="00085CC6"/>
    <w:rsid w:val="000863C5"/>
    <w:rsid w:val="0008731E"/>
    <w:rsid w:val="00097807"/>
    <w:rsid w:val="000A3C08"/>
    <w:rsid w:val="000A40CF"/>
    <w:rsid w:val="000B060D"/>
    <w:rsid w:val="000B07A1"/>
    <w:rsid w:val="000B6A80"/>
    <w:rsid w:val="000D1E38"/>
    <w:rsid w:val="000D312E"/>
    <w:rsid w:val="000D4D6C"/>
    <w:rsid w:val="000D5867"/>
    <w:rsid w:val="000E4564"/>
    <w:rsid w:val="000E478B"/>
    <w:rsid w:val="000F362A"/>
    <w:rsid w:val="000F62A0"/>
    <w:rsid w:val="00102C50"/>
    <w:rsid w:val="0010612D"/>
    <w:rsid w:val="00107D3B"/>
    <w:rsid w:val="00111BF8"/>
    <w:rsid w:val="00111C94"/>
    <w:rsid w:val="001306E1"/>
    <w:rsid w:val="001364F9"/>
    <w:rsid w:val="00137A1B"/>
    <w:rsid w:val="00142A34"/>
    <w:rsid w:val="0014474F"/>
    <w:rsid w:val="001451D3"/>
    <w:rsid w:val="00146600"/>
    <w:rsid w:val="00147A10"/>
    <w:rsid w:val="001553C0"/>
    <w:rsid w:val="00162A87"/>
    <w:rsid w:val="00164CB6"/>
    <w:rsid w:val="00165354"/>
    <w:rsid w:val="00166977"/>
    <w:rsid w:val="00174160"/>
    <w:rsid w:val="0017592A"/>
    <w:rsid w:val="001769C1"/>
    <w:rsid w:val="00185574"/>
    <w:rsid w:val="001861FA"/>
    <w:rsid w:val="001918E3"/>
    <w:rsid w:val="0019268F"/>
    <w:rsid w:val="001958FF"/>
    <w:rsid w:val="001A259A"/>
    <w:rsid w:val="001A65FD"/>
    <w:rsid w:val="001A69BC"/>
    <w:rsid w:val="001A6CD7"/>
    <w:rsid w:val="001B118B"/>
    <w:rsid w:val="001B1643"/>
    <w:rsid w:val="001B235F"/>
    <w:rsid w:val="001B5D61"/>
    <w:rsid w:val="001C001F"/>
    <w:rsid w:val="001C031C"/>
    <w:rsid w:val="001C0F7F"/>
    <w:rsid w:val="001C5486"/>
    <w:rsid w:val="001D1DBA"/>
    <w:rsid w:val="001E0EE3"/>
    <w:rsid w:val="001E125C"/>
    <w:rsid w:val="001E36C6"/>
    <w:rsid w:val="001E7E0A"/>
    <w:rsid w:val="001F2570"/>
    <w:rsid w:val="001F51C6"/>
    <w:rsid w:val="002030D0"/>
    <w:rsid w:val="002054F6"/>
    <w:rsid w:val="0020624E"/>
    <w:rsid w:val="00212F49"/>
    <w:rsid w:val="00213738"/>
    <w:rsid w:val="002158DB"/>
    <w:rsid w:val="00215965"/>
    <w:rsid w:val="002164F8"/>
    <w:rsid w:val="0022554F"/>
    <w:rsid w:val="002328B2"/>
    <w:rsid w:val="00237C0C"/>
    <w:rsid w:val="00243C72"/>
    <w:rsid w:val="0024653B"/>
    <w:rsid w:val="00252404"/>
    <w:rsid w:val="0025786F"/>
    <w:rsid w:val="00265BD0"/>
    <w:rsid w:val="00265E95"/>
    <w:rsid w:val="00266FFA"/>
    <w:rsid w:val="002671D8"/>
    <w:rsid w:val="0027009A"/>
    <w:rsid w:val="00275120"/>
    <w:rsid w:val="00275D79"/>
    <w:rsid w:val="00277B27"/>
    <w:rsid w:val="00285124"/>
    <w:rsid w:val="00297160"/>
    <w:rsid w:val="00297DC4"/>
    <w:rsid w:val="002A1F8B"/>
    <w:rsid w:val="002A3A5A"/>
    <w:rsid w:val="002A46D3"/>
    <w:rsid w:val="002A47F9"/>
    <w:rsid w:val="002B1779"/>
    <w:rsid w:val="002B2C68"/>
    <w:rsid w:val="002C0A5C"/>
    <w:rsid w:val="002C62A1"/>
    <w:rsid w:val="002D1B27"/>
    <w:rsid w:val="002D64AB"/>
    <w:rsid w:val="002E1924"/>
    <w:rsid w:val="002E2CC9"/>
    <w:rsid w:val="002E3C86"/>
    <w:rsid w:val="002F52AB"/>
    <w:rsid w:val="002F5B94"/>
    <w:rsid w:val="00304A38"/>
    <w:rsid w:val="0030525E"/>
    <w:rsid w:val="00311793"/>
    <w:rsid w:val="00315E81"/>
    <w:rsid w:val="003176DB"/>
    <w:rsid w:val="00323E6F"/>
    <w:rsid w:val="00326ED9"/>
    <w:rsid w:val="00327CA2"/>
    <w:rsid w:val="00330565"/>
    <w:rsid w:val="00330F70"/>
    <w:rsid w:val="003312D4"/>
    <w:rsid w:val="0033504E"/>
    <w:rsid w:val="003412BB"/>
    <w:rsid w:val="003440A4"/>
    <w:rsid w:val="003446A3"/>
    <w:rsid w:val="00344E08"/>
    <w:rsid w:val="003469E4"/>
    <w:rsid w:val="00346C8B"/>
    <w:rsid w:val="00346F37"/>
    <w:rsid w:val="00347759"/>
    <w:rsid w:val="00356F90"/>
    <w:rsid w:val="003611C0"/>
    <w:rsid w:val="003631FC"/>
    <w:rsid w:val="00366EA6"/>
    <w:rsid w:val="00367CF8"/>
    <w:rsid w:val="00372E6F"/>
    <w:rsid w:val="00374CE1"/>
    <w:rsid w:val="0038047C"/>
    <w:rsid w:val="00381121"/>
    <w:rsid w:val="003857D6"/>
    <w:rsid w:val="003865D2"/>
    <w:rsid w:val="00386EDA"/>
    <w:rsid w:val="00394191"/>
    <w:rsid w:val="0039557F"/>
    <w:rsid w:val="003A2163"/>
    <w:rsid w:val="003A3CFA"/>
    <w:rsid w:val="003A578A"/>
    <w:rsid w:val="003A61FC"/>
    <w:rsid w:val="003B10F1"/>
    <w:rsid w:val="003B1E7E"/>
    <w:rsid w:val="003B516D"/>
    <w:rsid w:val="003C3F58"/>
    <w:rsid w:val="003C4F02"/>
    <w:rsid w:val="003F068A"/>
    <w:rsid w:val="003F1CCB"/>
    <w:rsid w:val="00401037"/>
    <w:rsid w:val="00402E5D"/>
    <w:rsid w:val="00404128"/>
    <w:rsid w:val="00411589"/>
    <w:rsid w:val="004123F5"/>
    <w:rsid w:val="00413379"/>
    <w:rsid w:val="004161F1"/>
    <w:rsid w:val="00420E4F"/>
    <w:rsid w:val="00424DC1"/>
    <w:rsid w:val="00425DDA"/>
    <w:rsid w:val="00427062"/>
    <w:rsid w:val="00437587"/>
    <w:rsid w:val="00440D53"/>
    <w:rsid w:val="004454A2"/>
    <w:rsid w:val="00446EFC"/>
    <w:rsid w:val="00451D5D"/>
    <w:rsid w:val="00457F9F"/>
    <w:rsid w:val="004630BC"/>
    <w:rsid w:val="0046519C"/>
    <w:rsid w:val="00466E32"/>
    <w:rsid w:val="00467F61"/>
    <w:rsid w:val="00474019"/>
    <w:rsid w:val="0047485C"/>
    <w:rsid w:val="00475BFC"/>
    <w:rsid w:val="00477103"/>
    <w:rsid w:val="00477A92"/>
    <w:rsid w:val="0048445E"/>
    <w:rsid w:val="00485FCD"/>
    <w:rsid w:val="00490007"/>
    <w:rsid w:val="0049723B"/>
    <w:rsid w:val="004A11C2"/>
    <w:rsid w:val="004A7237"/>
    <w:rsid w:val="004B06AD"/>
    <w:rsid w:val="004B2F01"/>
    <w:rsid w:val="004B4F01"/>
    <w:rsid w:val="004B5785"/>
    <w:rsid w:val="004C1133"/>
    <w:rsid w:val="004C1E18"/>
    <w:rsid w:val="004C43B9"/>
    <w:rsid w:val="004D1918"/>
    <w:rsid w:val="004D4076"/>
    <w:rsid w:val="004D4520"/>
    <w:rsid w:val="004D47DE"/>
    <w:rsid w:val="004D4C20"/>
    <w:rsid w:val="004E1549"/>
    <w:rsid w:val="004E2285"/>
    <w:rsid w:val="004F3F4D"/>
    <w:rsid w:val="004F603C"/>
    <w:rsid w:val="005028EC"/>
    <w:rsid w:val="00502CE9"/>
    <w:rsid w:val="00504FD0"/>
    <w:rsid w:val="0050663B"/>
    <w:rsid w:val="0050798B"/>
    <w:rsid w:val="0051005F"/>
    <w:rsid w:val="005141A7"/>
    <w:rsid w:val="00514B51"/>
    <w:rsid w:val="00515661"/>
    <w:rsid w:val="005159E6"/>
    <w:rsid w:val="00516D63"/>
    <w:rsid w:val="0052707C"/>
    <w:rsid w:val="00527BDE"/>
    <w:rsid w:val="00530EEE"/>
    <w:rsid w:val="0053102F"/>
    <w:rsid w:val="00531474"/>
    <w:rsid w:val="0053181D"/>
    <w:rsid w:val="005356B9"/>
    <w:rsid w:val="00535977"/>
    <w:rsid w:val="00540C6E"/>
    <w:rsid w:val="00544BC4"/>
    <w:rsid w:val="0054504C"/>
    <w:rsid w:val="00556640"/>
    <w:rsid w:val="00557D40"/>
    <w:rsid w:val="005623E6"/>
    <w:rsid w:val="00562ACC"/>
    <w:rsid w:val="00563A68"/>
    <w:rsid w:val="00563A7F"/>
    <w:rsid w:val="00564077"/>
    <w:rsid w:val="00572FD2"/>
    <w:rsid w:val="005731B9"/>
    <w:rsid w:val="00573232"/>
    <w:rsid w:val="00573DC5"/>
    <w:rsid w:val="0057485F"/>
    <w:rsid w:val="00583F3E"/>
    <w:rsid w:val="00584019"/>
    <w:rsid w:val="00584295"/>
    <w:rsid w:val="005851CA"/>
    <w:rsid w:val="00585C45"/>
    <w:rsid w:val="005866AF"/>
    <w:rsid w:val="00593146"/>
    <w:rsid w:val="0059570E"/>
    <w:rsid w:val="005A1A95"/>
    <w:rsid w:val="005A1EF6"/>
    <w:rsid w:val="005A5767"/>
    <w:rsid w:val="005B5ABA"/>
    <w:rsid w:val="005B7322"/>
    <w:rsid w:val="005C5006"/>
    <w:rsid w:val="005C6FEF"/>
    <w:rsid w:val="005D60CE"/>
    <w:rsid w:val="005E461F"/>
    <w:rsid w:val="005E7FCB"/>
    <w:rsid w:val="005F13B7"/>
    <w:rsid w:val="005F20AA"/>
    <w:rsid w:val="005F22F5"/>
    <w:rsid w:val="005F7605"/>
    <w:rsid w:val="00601D1A"/>
    <w:rsid w:val="00603BC4"/>
    <w:rsid w:val="00606241"/>
    <w:rsid w:val="00606EE4"/>
    <w:rsid w:val="0061054E"/>
    <w:rsid w:val="00614B87"/>
    <w:rsid w:val="00615898"/>
    <w:rsid w:val="00626461"/>
    <w:rsid w:val="00630922"/>
    <w:rsid w:val="00632A81"/>
    <w:rsid w:val="006330CE"/>
    <w:rsid w:val="0063584E"/>
    <w:rsid w:val="00636369"/>
    <w:rsid w:val="006366E0"/>
    <w:rsid w:val="0064194B"/>
    <w:rsid w:val="00643710"/>
    <w:rsid w:val="00653A6D"/>
    <w:rsid w:val="006550EA"/>
    <w:rsid w:val="00657F29"/>
    <w:rsid w:val="00660C5E"/>
    <w:rsid w:val="00672F8A"/>
    <w:rsid w:val="00681BAF"/>
    <w:rsid w:val="006870AC"/>
    <w:rsid w:val="00690122"/>
    <w:rsid w:val="00691372"/>
    <w:rsid w:val="00691D8D"/>
    <w:rsid w:val="0069533D"/>
    <w:rsid w:val="006977CF"/>
    <w:rsid w:val="006A2F38"/>
    <w:rsid w:val="006C070F"/>
    <w:rsid w:val="006C0AE8"/>
    <w:rsid w:val="006C1FC9"/>
    <w:rsid w:val="006C4DE2"/>
    <w:rsid w:val="006C6040"/>
    <w:rsid w:val="006D2105"/>
    <w:rsid w:val="006D2BC1"/>
    <w:rsid w:val="006D4C2B"/>
    <w:rsid w:val="006D76F9"/>
    <w:rsid w:val="006E3DAC"/>
    <w:rsid w:val="006E4542"/>
    <w:rsid w:val="006E553B"/>
    <w:rsid w:val="006E5B34"/>
    <w:rsid w:val="006E78B4"/>
    <w:rsid w:val="006F0949"/>
    <w:rsid w:val="006F5AA5"/>
    <w:rsid w:val="006F5FFF"/>
    <w:rsid w:val="006F61D9"/>
    <w:rsid w:val="007065C5"/>
    <w:rsid w:val="00710D9D"/>
    <w:rsid w:val="007226A9"/>
    <w:rsid w:val="00724EF3"/>
    <w:rsid w:val="007270A4"/>
    <w:rsid w:val="00734FC4"/>
    <w:rsid w:val="00741236"/>
    <w:rsid w:val="00741356"/>
    <w:rsid w:val="00743CA5"/>
    <w:rsid w:val="00746FED"/>
    <w:rsid w:val="007471E0"/>
    <w:rsid w:val="00747986"/>
    <w:rsid w:val="00755DC2"/>
    <w:rsid w:val="00771D1C"/>
    <w:rsid w:val="00774F39"/>
    <w:rsid w:val="00777040"/>
    <w:rsid w:val="00781610"/>
    <w:rsid w:val="00782FD3"/>
    <w:rsid w:val="00783965"/>
    <w:rsid w:val="00785030"/>
    <w:rsid w:val="00786E0E"/>
    <w:rsid w:val="00787F97"/>
    <w:rsid w:val="00791237"/>
    <w:rsid w:val="00794CA1"/>
    <w:rsid w:val="007A29FC"/>
    <w:rsid w:val="007B21C7"/>
    <w:rsid w:val="007B7169"/>
    <w:rsid w:val="007C2073"/>
    <w:rsid w:val="007C45CE"/>
    <w:rsid w:val="007C65E6"/>
    <w:rsid w:val="007C6F64"/>
    <w:rsid w:val="007C7792"/>
    <w:rsid w:val="007C7824"/>
    <w:rsid w:val="007D2DC3"/>
    <w:rsid w:val="007D3550"/>
    <w:rsid w:val="007E52ED"/>
    <w:rsid w:val="007E61E3"/>
    <w:rsid w:val="007F23AC"/>
    <w:rsid w:val="007F5F64"/>
    <w:rsid w:val="00800C41"/>
    <w:rsid w:val="008035C6"/>
    <w:rsid w:val="00804B5A"/>
    <w:rsid w:val="00806FFB"/>
    <w:rsid w:val="00810089"/>
    <w:rsid w:val="00814B13"/>
    <w:rsid w:val="008150B1"/>
    <w:rsid w:val="00817BA6"/>
    <w:rsid w:val="008229FE"/>
    <w:rsid w:val="0082487B"/>
    <w:rsid w:val="008300C7"/>
    <w:rsid w:val="0083279D"/>
    <w:rsid w:val="00833D6E"/>
    <w:rsid w:val="008412EA"/>
    <w:rsid w:val="00841D01"/>
    <w:rsid w:val="00847877"/>
    <w:rsid w:val="008523CD"/>
    <w:rsid w:val="00855504"/>
    <w:rsid w:val="008557F5"/>
    <w:rsid w:val="0085632E"/>
    <w:rsid w:val="00862304"/>
    <w:rsid w:val="00862A37"/>
    <w:rsid w:val="0086617F"/>
    <w:rsid w:val="00874372"/>
    <w:rsid w:val="00874877"/>
    <w:rsid w:val="0087668E"/>
    <w:rsid w:val="00884A90"/>
    <w:rsid w:val="0089326E"/>
    <w:rsid w:val="008A5501"/>
    <w:rsid w:val="008A7BF0"/>
    <w:rsid w:val="008A7C4B"/>
    <w:rsid w:val="008B106A"/>
    <w:rsid w:val="008B3481"/>
    <w:rsid w:val="008B52F5"/>
    <w:rsid w:val="008B6309"/>
    <w:rsid w:val="008C4331"/>
    <w:rsid w:val="008C64FF"/>
    <w:rsid w:val="008C6A40"/>
    <w:rsid w:val="008C7C61"/>
    <w:rsid w:val="008D1C62"/>
    <w:rsid w:val="008D3DFA"/>
    <w:rsid w:val="008E6AF9"/>
    <w:rsid w:val="008E7176"/>
    <w:rsid w:val="008F0E32"/>
    <w:rsid w:val="008F1C7C"/>
    <w:rsid w:val="008F2FF4"/>
    <w:rsid w:val="00905E94"/>
    <w:rsid w:val="00910125"/>
    <w:rsid w:val="009110E9"/>
    <w:rsid w:val="00920002"/>
    <w:rsid w:val="00922375"/>
    <w:rsid w:val="0092247E"/>
    <w:rsid w:val="009371D9"/>
    <w:rsid w:val="009379D1"/>
    <w:rsid w:val="009406AB"/>
    <w:rsid w:val="00945837"/>
    <w:rsid w:val="00947BDC"/>
    <w:rsid w:val="00953B45"/>
    <w:rsid w:val="00953DA0"/>
    <w:rsid w:val="00955FDE"/>
    <w:rsid w:val="00957075"/>
    <w:rsid w:val="0096423A"/>
    <w:rsid w:val="00974EC1"/>
    <w:rsid w:val="009772C9"/>
    <w:rsid w:val="0098312D"/>
    <w:rsid w:val="00986AB1"/>
    <w:rsid w:val="00990575"/>
    <w:rsid w:val="00992CC4"/>
    <w:rsid w:val="00992F9D"/>
    <w:rsid w:val="0099520D"/>
    <w:rsid w:val="009A2335"/>
    <w:rsid w:val="009A2DBC"/>
    <w:rsid w:val="009B014F"/>
    <w:rsid w:val="009B1361"/>
    <w:rsid w:val="009B30C3"/>
    <w:rsid w:val="009B5097"/>
    <w:rsid w:val="009B57CB"/>
    <w:rsid w:val="009B6480"/>
    <w:rsid w:val="009B6F32"/>
    <w:rsid w:val="009B72A2"/>
    <w:rsid w:val="009C0BC3"/>
    <w:rsid w:val="009C0EFE"/>
    <w:rsid w:val="009C4759"/>
    <w:rsid w:val="009C531D"/>
    <w:rsid w:val="009C668E"/>
    <w:rsid w:val="009C7BAD"/>
    <w:rsid w:val="009D2BE0"/>
    <w:rsid w:val="009E21B5"/>
    <w:rsid w:val="009E5878"/>
    <w:rsid w:val="009F0142"/>
    <w:rsid w:val="009F1C0D"/>
    <w:rsid w:val="009F576B"/>
    <w:rsid w:val="00A06B87"/>
    <w:rsid w:val="00A14FF4"/>
    <w:rsid w:val="00A16F76"/>
    <w:rsid w:val="00A24B76"/>
    <w:rsid w:val="00A429FE"/>
    <w:rsid w:val="00A47815"/>
    <w:rsid w:val="00A51FAE"/>
    <w:rsid w:val="00A54D62"/>
    <w:rsid w:val="00A54FA1"/>
    <w:rsid w:val="00A56A1B"/>
    <w:rsid w:val="00A57961"/>
    <w:rsid w:val="00A64592"/>
    <w:rsid w:val="00A652C1"/>
    <w:rsid w:val="00A658EA"/>
    <w:rsid w:val="00A67B90"/>
    <w:rsid w:val="00A70C82"/>
    <w:rsid w:val="00A70ED2"/>
    <w:rsid w:val="00A70FA0"/>
    <w:rsid w:val="00A77661"/>
    <w:rsid w:val="00A86CE9"/>
    <w:rsid w:val="00A90176"/>
    <w:rsid w:val="00A915C0"/>
    <w:rsid w:val="00A9328A"/>
    <w:rsid w:val="00AA0C36"/>
    <w:rsid w:val="00AB4094"/>
    <w:rsid w:val="00AB5E1A"/>
    <w:rsid w:val="00AB5E22"/>
    <w:rsid w:val="00AC17E5"/>
    <w:rsid w:val="00AC2231"/>
    <w:rsid w:val="00AC49B6"/>
    <w:rsid w:val="00AC6CC5"/>
    <w:rsid w:val="00AD1CF1"/>
    <w:rsid w:val="00AD28B9"/>
    <w:rsid w:val="00AD41D2"/>
    <w:rsid w:val="00AE0DFC"/>
    <w:rsid w:val="00AE3AA5"/>
    <w:rsid w:val="00AE59AA"/>
    <w:rsid w:val="00AF2F82"/>
    <w:rsid w:val="00AF4318"/>
    <w:rsid w:val="00AF45F4"/>
    <w:rsid w:val="00AF75F1"/>
    <w:rsid w:val="00AF75F5"/>
    <w:rsid w:val="00B01223"/>
    <w:rsid w:val="00B063CA"/>
    <w:rsid w:val="00B119E3"/>
    <w:rsid w:val="00B147E8"/>
    <w:rsid w:val="00B20F38"/>
    <w:rsid w:val="00B26553"/>
    <w:rsid w:val="00B2683F"/>
    <w:rsid w:val="00B304A9"/>
    <w:rsid w:val="00B4215B"/>
    <w:rsid w:val="00B55BDD"/>
    <w:rsid w:val="00B56179"/>
    <w:rsid w:val="00B56DC4"/>
    <w:rsid w:val="00B579A7"/>
    <w:rsid w:val="00B6020F"/>
    <w:rsid w:val="00B60784"/>
    <w:rsid w:val="00B61DEE"/>
    <w:rsid w:val="00B663DC"/>
    <w:rsid w:val="00B70BF6"/>
    <w:rsid w:val="00B745BC"/>
    <w:rsid w:val="00B77C8B"/>
    <w:rsid w:val="00B81A32"/>
    <w:rsid w:val="00B820A5"/>
    <w:rsid w:val="00B841AF"/>
    <w:rsid w:val="00B846E0"/>
    <w:rsid w:val="00B85819"/>
    <w:rsid w:val="00B85F32"/>
    <w:rsid w:val="00B87D83"/>
    <w:rsid w:val="00B917E2"/>
    <w:rsid w:val="00B9508B"/>
    <w:rsid w:val="00B963EA"/>
    <w:rsid w:val="00B97794"/>
    <w:rsid w:val="00B97E56"/>
    <w:rsid w:val="00BA5F17"/>
    <w:rsid w:val="00BA6E6A"/>
    <w:rsid w:val="00BB1362"/>
    <w:rsid w:val="00BB291D"/>
    <w:rsid w:val="00BC05AA"/>
    <w:rsid w:val="00BC231C"/>
    <w:rsid w:val="00BC5389"/>
    <w:rsid w:val="00BC760A"/>
    <w:rsid w:val="00BD0883"/>
    <w:rsid w:val="00BD14D7"/>
    <w:rsid w:val="00BD3EE5"/>
    <w:rsid w:val="00BD4078"/>
    <w:rsid w:val="00BD5051"/>
    <w:rsid w:val="00BE0EF4"/>
    <w:rsid w:val="00BE7337"/>
    <w:rsid w:val="00C01794"/>
    <w:rsid w:val="00C07A8B"/>
    <w:rsid w:val="00C124EF"/>
    <w:rsid w:val="00C15255"/>
    <w:rsid w:val="00C2258D"/>
    <w:rsid w:val="00C25B17"/>
    <w:rsid w:val="00C25EF5"/>
    <w:rsid w:val="00C30C7B"/>
    <w:rsid w:val="00C3733B"/>
    <w:rsid w:val="00C444D8"/>
    <w:rsid w:val="00C50779"/>
    <w:rsid w:val="00C61CF1"/>
    <w:rsid w:val="00C62F60"/>
    <w:rsid w:val="00C73BC2"/>
    <w:rsid w:val="00C73D52"/>
    <w:rsid w:val="00C75BDE"/>
    <w:rsid w:val="00C76DE1"/>
    <w:rsid w:val="00C85FA8"/>
    <w:rsid w:val="00C93B52"/>
    <w:rsid w:val="00CA06E8"/>
    <w:rsid w:val="00CA344E"/>
    <w:rsid w:val="00CA4CEB"/>
    <w:rsid w:val="00CA5964"/>
    <w:rsid w:val="00CB1C0C"/>
    <w:rsid w:val="00CB4F7F"/>
    <w:rsid w:val="00CB6629"/>
    <w:rsid w:val="00CC0F49"/>
    <w:rsid w:val="00CC20DF"/>
    <w:rsid w:val="00CC6364"/>
    <w:rsid w:val="00CC7769"/>
    <w:rsid w:val="00CD4852"/>
    <w:rsid w:val="00CE0E65"/>
    <w:rsid w:val="00CE1ACD"/>
    <w:rsid w:val="00CE59D8"/>
    <w:rsid w:val="00CF0342"/>
    <w:rsid w:val="00CF2376"/>
    <w:rsid w:val="00CF50C1"/>
    <w:rsid w:val="00D003F8"/>
    <w:rsid w:val="00D0168C"/>
    <w:rsid w:val="00D01FFB"/>
    <w:rsid w:val="00D069BF"/>
    <w:rsid w:val="00D070AE"/>
    <w:rsid w:val="00D074F2"/>
    <w:rsid w:val="00D13556"/>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B5B11"/>
    <w:rsid w:val="00DC4452"/>
    <w:rsid w:val="00DC62C6"/>
    <w:rsid w:val="00DC707F"/>
    <w:rsid w:val="00DD0A00"/>
    <w:rsid w:val="00DD114E"/>
    <w:rsid w:val="00DD3094"/>
    <w:rsid w:val="00DD5F4F"/>
    <w:rsid w:val="00DE0424"/>
    <w:rsid w:val="00DE2408"/>
    <w:rsid w:val="00DE50C7"/>
    <w:rsid w:val="00DE6364"/>
    <w:rsid w:val="00DE6408"/>
    <w:rsid w:val="00E00269"/>
    <w:rsid w:val="00E0258C"/>
    <w:rsid w:val="00E03946"/>
    <w:rsid w:val="00E051BE"/>
    <w:rsid w:val="00E11C1B"/>
    <w:rsid w:val="00E1377C"/>
    <w:rsid w:val="00E20C1F"/>
    <w:rsid w:val="00E21769"/>
    <w:rsid w:val="00E25A1D"/>
    <w:rsid w:val="00E27D5E"/>
    <w:rsid w:val="00E3039A"/>
    <w:rsid w:val="00E31571"/>
    <w:rsid w:val="00E35499"/>
    <w:rsid w:val="00E46B80"/>
    <w:rsid w:val="00E46E37"/>
    <w:rsid w:val="00E46E95"/>
    <w:rsid w:val="00E504B2"/>
    <w:rsid w:val="00E57B22"/>
    <w:rsid w:val="00E57BC7"/>
    <w:rsid w:val="00E6687B"/>
    <w:rsid w:val="00E67FF9"/>
    <w:rsid w:val="00E72E7F"/>
    <w:rsid w:val="00E756E7"/>
    <w:rsid w:val="00E76B20"/>
    <w:rsid w:val="00E77D96"/>
    <w:rsid w:val="00E84646"/>
    <w:rsid w:val="00E874B9"/>
    <w:rsid w:val="00E87B48"/>
    <w:rsid w:val="00E909AB"/>
    <w:rsid w:val="00E94305"/>
    <w:rsid w:val="00E94BD9"/>
    <w:rsid w:val="00E97A69"/>
    <w:rsid w:val="00EA1C66"/>
    <w:rsid w:val="00EA2187"/>
    <w:rsid w:val="00EB2D25"/>
    <w:rsid w:val="00EC0C31"/>
    <w:rsid w:val="00ED22CB"/>
    <w:rsid w:val="00ED4EEF"/>
    <w:rsid w:val="00ED5FF7"/>
    <w:rsid w:val="00EE05F3"/>
    <w:rsid w:val="00EE4A53"/>
    <w:rsid w:val="00EF5787"/>
    <w:rsid w:val="00F020CA"/>
    <w:rsid w:val="00F023D0"/>
    <w:rsid w:val="00F03965"/>
    <w:rsid w:val="00F039DE"/>
    <w:rsid w:val="00F03E65"/>
    <w:rsid w:val="00F048A2"/>
    <w:rsid w:val="00F05F1A"/>
    <w:rsid w:val="00F1188E"/>
    <w:rsid w:val="00F11918"/>
    <w:rsid w:val="00F11E19"/>
    <w:rsid w:val="00F12958"/>
    <w:rsid w:val="00F13F4B"/>
    <w:rsid w:val="00F164FE"/>
    <w:rsid w:val="00F22FC8"/>
    <w:rsid w:val="00F246D2"/>
    <w:rsid w:val="00F257A0"/>
    <w:rsid w:val="00F2603B"/>
    <w:rsid w:val="00F3073C"/>
    <w:rsid w:val="00F31AA9"/>
    <w:rsid w:val="00F4093A"/>
    <w:rsid w:val="00F40F49"/>
    <w:rsid w:val="00F4551A"/>
    <w:rsid w:val="00F5092F"/>
    <w:rsid w:val="00F51811"/>
    <w:rsid w:val="00F5603C"/>
    <w:rsid w:val="00F67BFF"/>
    <w:rsid w:val="00F73E27"/>
    <w:rsid w:val="00F806A5"/>
    <w:rsid w:val="00F90089"/>
    <w:rsid w:val="00F91449"/>
    <w:rsid w:val="00F91689"/>
    <w:rsid w:val="00F93115"/>
    <w:rsid w:val="00F934AC"/>
    <w:rsid w:val="00F94D63"/>
    <w:rsid w:val="00F96ECB"/>
    <w:rsid w:val="00FA4AC3"/>
    <w:rsid w:val="00FA5EE7"/>
    <w:rsid w:val="00FA719A"/>
    <w:rsid w:val="00FA79C7"/>
    <w:rsid w:val="00FB09F3"/>
    <w:rsid w:val="00FB103F"/>
    <w:rsid w:val="00FB20DF"/>
    <w:rsid w:val="00FB449A"/>
    <w:rsid w:val="00FB5E94"/>
    <w:rsid w:val="00FC42FA"/>
    <w:rsid w:val="00FC44F7"/>
    <w:rsid w:val="00FD23C7"/>
    <w:rsid w:val="00FD768B"/>
    <w:rsid w:val="00FE72BA"/>
    <w:rsid w:val="00FF37C8"/>
    <w:rsid w:val="00FF56C2"/>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2.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3.xml><?xml version="1.0" encoding="utf-8"?>
<ds:datastoreItem xmlns:ds="http://schemas.openxmlformats.org/officeDocument/2006/customXml" ds:itemID="{7CD405D1-F9B9-4DA9-BAC1-E49E0145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4584</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PM: Seeschiffentlader - EECV erteilt Bedeschi Zuschlag</vt:lpstr>
      <vt:lpstr>PM: Seeschiffentlader - EECV erteilt Bedeschi Zuschlag</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Seeschiffentlader - EECV erteilt Bedeschi Zuschlag</dc:title>
  <dc:subject>Ü de-US</dc:subject>
  <dc:creator>Tazelaar, Frank</dc:creator>
  <cp:lastModifiedBy>Pollmeier, Sabine</cp:lastModifiedBy>
  <cp:revision>19</cp:revision>
  <cp:lastPrinted>2023-09-27T16:31:00Z</cp:lastPrinted>
  <dcterms:created xsi:type="dcterms:W3CDTF">2023-12-06T11:56:00Z</dcterms:created>
  <dcterms:modified xsi:type="dcterms:W3CDTF">2023-12-13T08:11:00Z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