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58966D9" w14:textId="77777777" w:rsidTr="008D3DFA">
        <w:trPr>
          <w:trHeight w:val="45"/>
        </w:trPr>
        <w:tc>
          <w:tcPr>
            <w:tcW w:w="7655" w:type="dxa"/>
          </w:tcPr>
          <w:p w14:paraId="14291C75" w14:textId="77777777" w:rsidR="008D3DFA" w:rsidRDefault="008D3DFA" w:rsidP="001E7E0A">
            <w:pPr>
              <w:rPr>
                <w:noProof/>
                <w:lang w:eastAsia="de-DE"/>
              </w:rPr>
            </w:pPr>
          </w:p>
        </w:tc>
        <w:tc>
          <w:tcPr>
            <w:tcW w:w="1724" w:type="dxa"/>
          </w:tcPr>
          <w:p w14:paraId="083572FF" w14:textId="77777777" w:rsidR="008D3DFA" w:rsidRDefault="009772C9" w:rsidP="001E7E0A">
            <w:pPr>
              <w:pStyle w:val="BusinessArea"/>
            </w:pPr>
            <w:r>
              <w:t>Steel</w:t>
            </w:r>
            <w:r w:rsidR="00146600">
              <w:t xml:space="preserve"> Europe</w:t>
            </w:r>
          </w:p>
        </w:tc>
      </w:tr>
      <w:tr w:rsidR="001E7E0A" w14:paraId="23FFDADD" w14:textId="77777777" w:rsidTr="001E7E0A">
        <w:trPr>
          <w:trHeight w:val="408"/>
        </w:trPr>
        <w:tc>
          <w:tcPr>
            <w:tcW w:w="7655" w:type="dxa"/>
          </w:tcPr>
          <w:p w14:paraId="033B4DE1" w14:textId="27F99652" w:rsidR="001E7E0A" w:rsidRDefault="001E7E0A" w:rsidP="001E7E0A"/>
        </w:tc>
        <w:tc>
          <w:tcPr>
            <w:tcW w:w="1724" w:type="dxa"/>
          </w:tcPr>
          <w:p w14:paraId="15276950" w14:textId="77777777" w:rsidR="001E7E0A" w:rsidRDefault="001E7E0A" w:rsidP="001E7E0A">
            <w:pPr>
              <w:pStyle w:val="BusinessArea"/>
            </w:pPr>
          </w:p>
        </w:tc>
      </w:tr>
      <w:tr w:rsidR="001E7E0A" w14:paraId="247C13D0" w14:textId="77777777" w:rsidTr="001E7E0A">
        <w:trPr>
          <w:trHeight w:val="992"/>
        </w:trPr>
        <w:tc>
          <w:tcPr>
            <w:tcW w:w="7655" w:type="dxa"/>
          </w:tcPr>
          <w:p w14:paraId="297C0EA1" w14:textId="77777777" w:rsidR="001E7E0A" w:rsidRDefault="001E7E0A" w:rsidP="00F4093A">
            <w:pPr>
              <w:pStyle w:val="Absenderadresse1"/>
            </w:pPr>
          </w:p>
        </w:tc>
        <w:tc>
          <w:tcPr>
            <w:tcW w:w="1724" w:type="dxa"/>
          </w:tcPr>
          <w:p w14:paraId="1749EEC3" w14:textId="4D7FA328" w:rsidR="001E7E0A" w:rsidRPr="0090250B" w:rsidRDefault="00E26B36" w:rsidP="0090250B">
            <w:pPr>
              <w:pStyle w:val="Datumsangabe"/>
            </w:pPr>
            <w:r>
              <w:t>25.11</w:t>
            </w:r>
            <w:r w:rsidR="00BF4DB1">
              <w:t>.202</w:t>
            </w:r>
            <w:r w:rsidR="00BB1719">
              <w:t>4</w:t>
            </w:r>
          </w:p>
          <w:p w14:paraId="0A597221" w14:textId="18C2F5D6"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E26B36">
              <w:t>4</w:t>
            </w:r>
          </w:p>
        </w:tc>
      </w:tr>
    </w:tbl>
    <w:p w14:paraId="4710D267" w14:textId="77777777" w:rsidR="00DE2408" w:rsidRDefault="00DE2408" w:rsidP="00DE2408">
      <w:pPr>
        <w:pStyle w:val="StandardWeb1"/>
        <w:spacing w:line="360" w:lineRule="auto"/>
        <w:jc w:val="both"/>
        <w:rPr>
          <w:rFonts w:ascii="TKTypeRegular" w:hAnsi="TKTypeRegular"/>
          <w:b/>
          <w:sz w:val="20"/>
          <w:szCs w:val="20"/>
        </w:rPr>
      </w:pPr>
    </w:p>
    <w:p w14:paraId="39231736" w14:textId="77777777" w:rsidR="00E26B36" w:rsidRDefault="00E26B36" w:rsidP="00E26B36">
      <w:pPr>
        <w:pStyle w:val="StandardWeb1"/>
        <w:spacing w:after="0" w:line="240" w:lineRule="auto"/>
        <w:jc w:val="both"/>
        <w:rPr>
          <w:rFonts w:ascii="TKTypeRegular" w:hAnsi="TKTypeRegular"/>
          <w:b/>
          <w:bCs/>
        </w:rPr>
      </w:pPr>
      <w:r>
        <w:rPr>
          <w:rFonts w:ascii="TKTypeRegular" w:hAnsi="TKTypeRegular"/>
          <w:b/>
          <w:bCs/>
        </w:rPr>
        <w:t>thyssenkrupp Steel stellt wesentliche Eckpunkte für industrielles Zukunftskonzept vor</w:t>
      </w:r>
    </w:p>
    <w:p w14:paraId="0B0DACB0" w14:textId="77777777" w:rsidR="00DE2408" w:rsidRDefault="00DE2408" w:rsidP="00DE2408">
      <w:pPr>
        <w:pStyle w:val="StandardWeb1"/>
        <w:spacing w:after="0" w:line="360" w:lineRule="auto"/>
        <w:jc w:val="both"/>
        <w:rPr>
          <w:rFonts w:ascii="TKTypeRegular" w:hAnsi="TKTypeRegular"/>
          <w:sz w:val="20"/>
          <w:szCs w:val="20"/>
        </w:rPr>
      </w:pPr>
    </w:p>
    <w:p w14:paraId="47827167" w14:textId="77777777" w:rsidR="00E26B36" w:rsidRPr="00E26B36" w:rsidRDefault="00E26B36" w:rsidP="00E26B36">
      <w:pPr>
        <w:pStyle w:val="StandardWeb1"/>
        <w:numPr>
          <w:ilvl w:val="0"/>
          <w:numId w:val="28"/>
        </w:numPr>
        <w:spacing w:before="0" w:after="120" w:line="276" w:lineRule="auto"/>
        <w:ind w:left="714" w:hanging="357"/>
        <w:jc w:val="both"/>
        <w:rPr>
          <w:rFonts w:ascii="TKTypeRegular" w:hAnsi="TKTypeRegular"/>
          <w:sz w:val="20"/>
          <w:szCs w:val="20"/>
        </w:rPr>
      </w:pPr>
      <w:r w:rsidRPr="00E26B36">
        <w:rPr>
          <w:rFonts w:ascii="TKTypeRegular" w:hAnsi="TKTypeRegular"/>
          <w:sz w:val="20"/>
          <w:szCs w:val="20"/>
        </w:rPr>
        <w:t xml:space="preserve">Absenkung des Betriebspunktes auf ein Versandniveau von 8,7 bis 9,0 Millionen Tonnen. </w:t>
      </w:r>
    </w:p>
    <w:p w14:paraId="67F70010" w14:textId="3D039D09" w:rsidR="00E26B36" w:rsidRPr="00E26B36" w:rsidRDefault="00E26B36" w:rsidP="00E26B36">
      <w:pPr>
        <w:pStyle w:val="StandardWeb1"/>
        <w:numPr>
          <w:ilvl w:val="0"/>
          <w:numId w:val="28"/>
        </w:numPr>
        <w:spacing w:before="0" w:after="120" w:line="276" w:lineRule="auto"/>
        <w:ind w:left="714" w:hanging="357"/>
        <w:jc w:val="both"/>
        <w:rPr>
          <w:rFonts w:ascii="TKTypeRegular" w:hAnsi="TKTypeRegular"/>
          <w:sz w:val="20"/>
          <w:szCs w:val="20"/>
        </w:rPr>
      </w:pPr>
      <w:r w:rsidRPr="00E26B36">
        <w:rPr>
          <w:rFonts w:ascii="TKTypeRegular" w:hAnsi="TKTypeRegular"/>
          <w:sz w:val="20"/>
          <w:szCs w:val="20"/>
        </w:rPr>
        <w:t>Weiterverarbeitungsstandort in Kreuztal-Eichen soll geschlossen werden.</w:t>
      </w:r>
    </w:p>
    <w:p w14:paraId="09CA4B58" w14:textId="77777777" w:rsidR="00E26B36" w:rsidRPr="00E26B36" w:rsidRDefault="00E26B36" w:rsidP="00E26B36">
      <w:pPr>
        <w:pStyle w:val="StandardWeb1"/>
        <w:numPr>
          <w:ilvl w:val="0"/>
          <w:numId w:val="28"/>
        </w:numPr>
        <w:spacing w:before="0" w:after="120" w:line="276" w:lineRule="auto"/>
        <w:ind w:left="714" w:hanging="357"/>
        <w:jc w:val="both"/>
        <w:rPr>
          <w:rFonts w:ascii="TKTypeRegular" w:hAnsi="TKTypeRegular"/>
          <w:sz w:val="20"/>
          <w:szCs w:val="20"/>
        </w:rPr>
      </w:pPr>
      <w:r w:rsidRPr="00E26B36">
        <w:rPr>
          <w:rFonts w:ascii="TKTypeRegular" w:hAnsi="TKTypeRegular"/>
          <w:sz w:val="20"/>
          <w:szCs w:val="20"/>
        </w:rPr>
        <w:t>Ziel ist ein Abbau von ca. 5.000 Stellen durch Anpassungen in Produktion und Verwaltung bis 2030. Zudem sollen weitere 6.000 Arbeitsplätze durch Ausgliederungen auf externe Dienstleister oder den Verkauf von Geschäftstätigkeiten überführt werden.</w:t>
      </w:r>
    </w:p>
    <w:p w14:paraId="30B9272B" w14:textId="77777777" w:rsidR="00E26B36" w:rsidRPr="00E26B36" w:rsidRDefault="00E26B36" w:rsidP="00E26B36">
      <w:pPr>
        <w:pStyle w:val="StandardWeb1"/>
        <w:numPr>
          <w:ilvl w:val="0"/>
          <w:numId w:val="28"/>
        </w:numPr>
        <w:spacing w:before="0" w:after="120" w:line="276" w:lineRule="auto"/>
        <w:ind w:left="714" w:hanging="357"/>
        <w:jc w:val="both"/>
        <w:rPr>
          <w:rFonts w:ascii="TKTypeRegular" w:hAnsi="TKTypeRegular"/>
          <w:sz w:val="20"/>
          <w:szCs w:val="20"/>
        </w:rPr>
      </w:pPr>
      <w:r w:rsidRPr="00E26B36">
        <w:rPr>
          <w:rFonts w:ascii="TKTypeRegular" w:hAnsi="TKTypeRegular"/>
          <w:sz w:val="20"/>
          <w:szCs w:val="20"/>
        </w:rPr>
        <w:t>Senkung der Personalkosten in den kommenden Jahren im Durchschnitt um zehn Prozent auf ein wettbewerbsfähiges Kostenniveau.</w:t>
      </w:r>
    </w:p>
    <w:p w14:paraId="26A69B67" w14:textId="4A2058F0" w:rsidR="00DF7C16" w:rsidRDefault="00E26B36" w:rsidP="00E26B36">
      <w:pPr>
        <w:pStyle w:val="StandardWeb1"/>
        <w:numPr>
          <w:ilvl w:val="0"/>
          <w:numId w:val="28"/>
        </w:numPr>
        <w:spacing w:before="0" w:after="120" w:line="276" w:lineRule="auto"/>
        <w:ind w:left="714" w:hanging="357"/>
        <w:jc w:val="both"/>
        <w:rPr>
          <w:rFonts w:ascii="TKTypeRegular" w:hAnsi="TKTypeRegular"/>
          <w:sz w:val="20"/>
          <w:szCs w:val="20"/>
        </w:rPr>
      </w:pPr>
      <w:r w:rsidRPr="00E26B36">
        <w:rPr>
          <w:rFonts w:ascii="TKTypeRegular" w:hAnsi="TKTypeRegular"/>
          <w:sz w:val="20"/>
          <w:szCs w:val="20"/>
        </w:rPr>
        <w:t>Zukunftskonzept ist Grundlage für Gespräche mit den Arbeitnehmervertretern, die Ausarbeitung des Business Plans und des IDW S6-Gutachtens.</w:t>
      </w:r>
    </w:p>
    <w:p w14:paraId="60A4927C" w14:textId="77777777" w:rsidR="00DF7C16" w:rsidRDefault="00DF7C16" w:rsidP="00DE2408">
      <w:pPr>
        <w:pStyle w:val="StandardWeb1"/>
        <w:spacing w:after="0" w:line="360" w:lineRule="auto"/>
        <w:jc w:val="both"/>
        <w:rPr>
          <w:rFonts w:ascii="TKTypeRegular" w:hAnsi="TKTypeRegular"/>
          <w:sz w:val="20"/>
          <w:szCs w:val="20"/>
        </w:rPr>
      </w:pPr>
    </w:p>
    <w:p w14:paraId="37223338" w14:textId="5E848D27" w:rsidR="00E26B36" w:rsidRPr="00E26B36" w:rsidRDefault="00E26B36" w:rsidP="00E26B36">
      <w:pPr>
        <w:pStyle w:val="StandardWeb1"/>
        <w:spacing w:after="120" w:line="360" w:lineRule="auto"/>
        <w:jc w:val="both"/>
        <w:rPr>
          <w:rFonts w:ascii="TKTypeRegular" w:hAnsi="TKTypeRegular"/>
          <w:sz w:val="20"/>
          <w:szCs w:val="20"/>
        </w:rPr>
      </w:pPr>
      <w:r>
        <w:rPr>
          <w:rFonts w:ascii="TKTypeRegular" w:hAnsi="TKTypeRegular"/>
          <w:sz w:val="20"/>
          <w:szCs w:val="20"/>
        </w:rPr>
        <w:t xml:space="preserve">Duisburg, 25. November 2024. </w:t>
      </w:r>
      <w:r w:rsidRPr="00E26B36">
        <w:rPr>
          <w:rFonts w:ascii="TKTypeRegular" w:hAnsi="TKTypeRegular"/>
          <w:sz w:val="20"/>
          <w:szCs w:val="20"/>
        </w:rPr>
        <w:t xml:space="preserve">Der Vorstand der thyssenkrupp Steel Europe AG hat dem Strategieausschuss des Aufsichtsrats in einem Eckpunktepapier die Pläne für ein umfassendes industrielles Zukunftskonzept vorgestellt. Damit reagiert das Unternehmen auf die sich weiter verfestigenden fundamentalen und strukturellen Veränderungen auf dem europäischen Stahlmarkt und in entscheidenden Kunden- und Zielmärkten. Zunehmend belasten Überkapazitäten und daraus resultierend steigende Billigimporte, insbesondere aus Asien, die Wettbewerbsfähigkeit erheblich. </w:t>
      </w:r>
    </w:p>
    <w:p w14:paraId="3613B9CB" w14:textId="260EBCB5" w:rsidR="00E26B36" w:rsidRDefault="00E26B36" w:rsidP="00E26B36">
      <w:pPr>
        <w:pStyle w:val="StandardWeb1"/>
        <w:spacing w:line="360" w:lineRule="auto"/>
        <w:jc w:val="both"/>
        <w:rPr>
          <w:rFonts w:ascii="TKTypeRegular" w:hAnsi="TKTypeRegular"/>
          <w:sz w:val="20"/>
          <w:szCs w:val="20"/>
        </w:rPr>
      </w:pPr>
      <w:r w:rsidRPr="00E26B36">
        <w:rPr>
          <w:rFonts w:ascii="TKTypeRegular" w:hAnsi="TKTypeRegular"/>
          <w:sz w:val="20"/>
          <w:szCs w:val="20"/>
        </w:rPr>
        <w:t>Zudem sind dringende Maßnahmen erforderlich, um die eigene Produktivität und betriebliche Effizienz von thyssenkrupp Steel zu verbessern und ein wettbewerbsfähiges Kostenniveau zu erreichen. Das Eckpunktepapier wird in den kommenden Wochen im Dialog mit den Aufsichtsgremien und Arbeitnehmervertretungen konkretisiert. Die thyssenkrupp AG sowie die mit 20 Prozent an thyssenkrupp Steel beteiligte EP Group unterstützen das Konzept.</w:t>
      </w:r>
    </w:p>
    <w:p w14:paraId="4D051C76" w14:textId="77777777" w:rsidR="00C61E7D" w:rsidRPr="00E26B36" w:rsidRDefault="00C61E7D" w:rsidP="00E26B36">
      <w:pPr>
        <w:pStyle w:val="StandardWeb1"/>
        <w:spacing w:line="360" w:lineRule="auto"/>
        <w:jc w:val="both"/>
        <w:rPr>
          <w:rFonts w:ascii="TKTypeRegular" w:hAnsi="TKTypeRegular"/>
          <w:sz w:val="20"/>
          <w:szCs w:val="20"/>
        </w:rPr>
      </w:pPr>
    </w:p>
    <w:p w14:paraId="2DCB8168" w14:textId="77777777" w:rsidR="00E26B36" w:rsidRPr="00E26B36" w:rsidRDefault="00E26B36" w:rsidP="00E26B36">
      <w:pPr>
        <w:pStyle w:val="StandardWeb1"/>
        <w:spacing w:line="360" w:lineRule="auto"/>
        <w:jc w:val="both"/>
        <w:rPr>
          <w:rFonts w:ascii="TKTypeRegular" w:hAnsi="TKTypeRegular"/>
          <w:b/>
          <w:bCs/>
          <w:sz w:val="20"/>
          <w:szCs w:val="20"/>
        </w:rPr>
      </w:pPr>
      <w:r w:rsidRPr="00E26B36">
        <w:rPr>
          <w:rFonts w:ascii="TKTypeRegular" w:hAnsi="TKTypeRegular"/>
          <w:b/>
          <w:bCs/>
          <w:sz w:val="20"/>
          <w:szCs w:val="20"/>
        </w:rPr>
        <w:lastRenderedPageBreak/>
        <w:t>Anpassung der Gesamtkapazität – Stilllegung des Standortes Kreuztal-Eichen</w:t>
      </w:r>
    </w:p>
    <w:p w14:paraId="77E09956" w14:textId="77777777" w:rsidR="00E26B36" w:rsidRDefault="00E26B36" w:rsidP="00E26B36">
      <w:pPr>
        <w:pStyle w:val="StandardWeb1"/>
        <w:spacing w:line="360" w:lineRule="auto"/>
        <w:jc w:val="both"/>
        <w:rPr>
          <w:rFonts w:ascii="TKTypeRegular" w:hAnsi="TKTypeRegular"/>
          <w:sz w:val="20"/>
          <w:szCs w:val="20"/>
        </w:rPr>
      </w:pPr>
      <w:r w:rsidRPr="00E26B36">
        <w:rPr>
          <w:rFonts w:ascii="TKTypeRegular" w:hAnsi="TKTypeRegular"/>
          <w:sz w:val="20"/>
          <w:szCs w:val="20"/>
        </w:rPr>
        <w:t>Das Eckpunktepapier von thyssenkrupp Steel sieht vor, die Produktionskapazitäten markt-bedingt von gegenwärtig 11,5 auf ein zukünftiges Versandzielniveau von 8,7 bis 9 Millionen Tonnen zu senken und somit an die zukünftigen Markterwartungen anzupassen. Das entspricht in etwa dem Versandergebnis des vergangenen Geschäftsjahres. Auch nach diesem Schritt bleiben die Vorteile des integrierten Hüttenverbundes erhalten. Ein wesentliches Element zur notwendigen Kapazitätsreduzierung bleibt weiterhin die Trennung von den Hüttenwerken Krupp Mannesmann (HKM). Das vorrangige Ziel ist es dabei, die Unternehmensanteile an der HKM zu verkaufen. Sollte ein Verkauf nicht möglich sein, wird thyssenkrupp Steel mit den weiteren Gesellschaftern Gespräche über einvernehmliche Schließungsszenarien führen. Zudem soll der Weiterverarbeitungsstandort in Kreuztal-Eichen geschlossen werden.</w:t>
      </w:r>
    </w:p>
    <w:p w14:paraId="73303264" w14:textId="46B70FA9" w:rsidR="00E26B36" w:rsidRPr="00E26B36" w:rsidRDefault="00E26B36" w:rsidP="00E26B36">
      <w:pPr>
        <w:pStyle w:val="StandardWeb1"/>
        <w:spacing w:line="360" w:lineRule="auto"/>
        <w:jc w:val="both"/>
        <w:rPr>
          <w:rFonts w:ascii="TKTypeRegular" w:hAnsi="TKTypeRegular"/>
          <w:sz w:val="20"/>
          <w:szCs w:val="20"/>
        </w:rPr>
      </w:pPr>
      <w:r w:rsidRPr="00E26B36">
        <w:rPr>
          <w:rFonts w:ascii="TKTypeRegular" w:hAnsi="TKTypeRegular"/>
          <w:sz w:val="20"/>
          <w:szCs w:val="20"/>
        </w:rPr>
        <w:t xml:space="preserve"> </w:t>
      </w:r>
    </w:p>
    <w:p w14:paraId="1B0A2EB3" w14:textId="77777777" w:rsidR="00E26B36" w:rsidRPr="00E26B36" w:rsidRDefault="00E26B36" w:rsidP="00E26B36">
      <w:pPr>
        <w:pStyle w:val="StandardWeb1"/>
        <w:spacing w:line="360" w:lineRule="auto"/>
        <w:jc w:val="both"/>
        <w:rPr>
          <w:rFonts w:ascii="TKTypeRegular" w:hAnsi="TKTypeRegular"/>
          <w:b/>
          <w:bCs/>
          <w:sz w:val="20"/>
          <w:szCs w:val="20"/>
        </w:rPr>
      </w:pPr>
      <w:r w:rsidRPr="00E26B36">
        <w:rPr>
          <w:rFonts w:ascii="TKTypeRegular" w:hAnsi="TKTypeRegular"/>
          <w:b/>
          <w:bCs/>
          <w:sz w:val="20"/>
          <w:szCs w:val="20"/>
        </w:rPr>
        <w:t xml:space="preserve">Bekenntnis zur grünen Transformation </w:t>
      </w:r>
    </w:p>
    <w:p w14:paraId="70AE52FB" w14:textId="77777777" w:rsidR="00E26B36" w:rsidRDefault="00E26B36" w:rsidP="00E26B36">
      <w:pPr>
        <w:pStyle w:val="StandardWeb1"/>
        <w:spacing w:line="360" w:lineRule="auto"/>
        <w:jc w:val="both"/>
        <w:rPr>
          <w:rFonts w:ascii="TKTypeRegular" w:hAnsi="TKTypeRegular"/>
          <w:sz w:val="20"/>
          <w:szCs w:val="20"/>
        </w:rPr>
      </w:pPr>
      <w:r w:rsidRPr="00E26B36">
        <w:rPr>
          <w:rFonts w:ascii="TKTypeRegular" w:hAnsi="TKTypeRegular"/>
          <w:sz w:val="20"/>
          <w:szCs w:val="20"/>
        </w:rPr>
        <w:t xml:space="preserve">thyssenkrupp Steel steht unverändert zur grünen Transformation und zur klimaneutralen Stahlproduktion. Das Unternehmen hält weiterhin an seinem Plan fest, die bereits im Bau befindliche Direktreduktionsanlage fertigzustellen, und führt gleichzeitig konstruktive Ge-spräche mit den zuständigen Stellen, um die Wirtschaftlichkeit dieses großen Investitions-projekts unter den sich schnell verändernden Rahmenbedingungen sicherzustellen. Bis 2030 sollen die beiden Hochöfen 8 und 9 in Duisburg durch die DR-Anlage und die zwei geplanten innovativen </w:t>
      </w:r>
      <w:proofErr w:type="spellStart"/>
      <w:r w:rsidRPr="00E26B36">
        <w:rPr>
          <w:rFonts w:ascii="TKTypeRegular" w:hAnsi="TKTypeRegular"/>
          <w:sz w:val="20"/>
          <w:szCs w:val="20"/>
        </w:rPr>
        <w:t>Einschmelzer</w:t>
      </w:r>
      <w:proofErr w:type="spellEnd"/>
      <w:r w:rsidRPr="00E26B36">
        <w:rPr>
          <w:rFonts w:ascii="TKTypeRegular" w:hAnsi="TKTypeRegular"/>
          <w:sz w:val="20"/>
          <w:szCs w:val="20"/>
        </w:rPr>
        <w:t xml:space="preserve"> mit einer Versandkapazität von insgesamt 2,2 Mio. Tonnen pro Jahr ersetzt werden. Perspektivisch könnte ein weiterer Hochofen, z.B. durch einen modernen Elektrolichtbogenofen, ausgetauscht werden. Eine Entscheidung dazu wird aber erst zu einem späteren Zeitpunkt und unter den dann gültigen wirtschaftlichen, techno-logischen und politischen Rahmenbedingungen getroffen werden. </w:t>
      </w:r>
    </w:p>
    <w:p w14:paraId="46B4508D" w14:textId="77777777" w:rsidR="00E26B36" w:rsidRPr="00E26B36" w:rsidRDefault="00E26B36" w:rsidP="00E26B36">
      <w:pPr>
        <w:pStyle w:val="StandardWeb1"/>
        <w:spacing w:line="360" w:lineRule="auto"/>
        <w:jc w:val="both"/>
        <w:rPr>
          <w:rFonts w:ascii="TKTypeRegular" w:hAnsi="TKTypeRegular"/>
          <w:sz w:val="20"/>
          <w:szCs w:val="20"/>
        </w:rPr>
      </w:pPr>
    </w:p>
    <w:p w14:paraId="6AB24BBC" w14:textId="77777777" w:rsidR="00E26B36" w:rsidRPr="00E26B36" w:rsidRDefault="00E26B36" w:rsidP="00E26B36">
      <w:pPr>
        <w:pStyle w:val="StandardWeb1"/>
        <w:spacing w:line="360" w:lineRule="auto"/>
        <w:jc w:val="both"/>
        <w:rPr>
          <w:rFonts w:ascii="TKTypeRegular" w:hAnsi="TKTypeRegular"/>
          <w:b/>
          <w:bCs/>
          <w:sz w:val="20"/>
          <w:szCs w:val="20"/>
        </w:rPr>
      </w:pPr>
      <w:r w:rsidRPr="00E26B36">
        <w:rPr>
          <w:rFonts w:ascii="TKTypeRegular" w:hAnsi="TKTypeRegular"/>
          <w:b/>
          <w:bCs/>
          <w:sz w:val="20"/>
          <w:szCs w:val="20"/>
        </w:rPr>
        <w:t>Beschäftigungsabbau und Reduzierung der Personalkosten</w:t>
      </w:r>
    </w:p>
    <w:p w14:paraId="55106282" w14:textId="0250F976" w:rsidR="00E26B36" w:rsidRPr="00E26B36" w:rsidRDefault="00E26B36" w:rsidP="00E26B36">
      <w:pPr>
        <w:pStyle w:val="StandardWeb1"/>
        <w:spacing w:line="360" w:lineRule="auto"/>
        <w:jc w:val="both"/>
        <w:rPr>
          <w:rFonts w:ascii="TKTypeRegular" w:hAnsi="TKTypeRegular"/>
          <w:sz w:val="20"/>
          <w:szCs w:val="20"/>
        </w:rPr>
      </w:pPr>
      <w:r w:rsidRPr="00E26B36">
        <w:rPr>
          <w:rFonts w:ascii="TKTypeRegular" w:hAnsi="TKTypeRegular"/>
          <w:sz w:val="20"/>
          <w:szCs w:val="20"/>
        </w:rPr>
        <w:t xml:space="preserve">Die Umsetzung des jetzt vorgelegten Eckpunktepapiers wird zum einen mit einem deutlichen Abbau von Arbeitsplätzen sowie mit weiteren personalseitigen Kostensenkungen einhergehen. So sollen durch die geplante Anpassung des konzernweiten Produktionsnetzwerkes und eine deutliche Straffung der Verwaltungen bis 2030 ca. 5.000 Arbeitsplätze entfallen. Zudem sollen weitere ca. 6.000 Arbeitsplätze durch Ausgliederungen auf externe Dienstleister oder den Verkauf von Geschäftstätigkeiten überführt werden. </w:t>
      </w:r>
      <w:r w:rsidRPr="00E26B36">
        <w:rPr>
          <w:rFonts w:ascii="TKTypeRegular" w:hAnsi="TKTypeRegular"/>
          <w:sz w:val="20"/>
          <w:szCs w:val="20"/>
        </w:rPr>
        <w:lastRenderedPageBreak/>
        <w:t>Darüber hinaus sollen die Personalkosten in den kommenden Jahren im Durchschnitt um zehn Prozent reduziert und somit auf ein wettbewerbsfähiges Kostenniveau angepasst werden. Im Rahmen der Neuaufstellung bleibt es das erklärte Ziel, betriebsbedingte Kündigungen zu vermeiden.</w:t>
      </w:r>
    </w:p>
    <w:p w14:paraId="709FEEB0" w14:textId="385C3091" w:rsidR="00E26B36" w:rsidRPr="00E26B36" w:rsidRDefault="00E26B36" w:rsidP="00E26B36">
      <w:pPr>
        <w:spacing w:before="100" w:after="120" w:line="360" w:lineRule="auto"/>
        <w:ind w:left="708"/>
        <w:jc w:val="both"/>
        <w:rPr>
          <w:rFonts w:ascii="TKTypeRegular" w:hAnsi="TKTypeRegular"/>
          <w:i/>
          <w:iCs/>
          <w:szCs w:val="20"/>
        </w:rPr>
      </w:pPr>
      <w:r w:rsidRPr="00E26B36">
        <w:rPr>
          <w:rFonts w:ascii="TKTypeRegular" w:hAnsi="TKTypeRegular"/>
          <w:i/>
          <w:iCs/>
          <w:szCs w:val="20"/>
        </w:rPr>
        <w:t xml:space="preserve">„Wir nehmen unsere Verantwortung sehr ernst und wollen für möglichst viele unserer Beschäftigten langfristige Perspektiven schaffen“, sagt </w:t>
      </w:r>
      <w:r w:rsidRPr="00E26B36">
        <w:rPr>
          <w:rFonts w:ascii="TKTypeRegular" w:hAnsi="TKTypeRegular"/>
          <w:b/>
          <w:bCs/>
          <w:i/>
          <w:iCs/>
          <w:szCs w:val="20"/>
        </w:rPr>
        <w:t>Vorstandssprecher Dennis Grimm</w:t>
      </w:r>
      <w:r w:rsidRPr="00E26B36">
        <w:rPr>
          <w:rFonts w:ascii="TKTypeRegular" w:hAnsi="TKTypeRegular"/>
          <w:i/>
          <w:iCs/>
          <w:szCs w:val="20"/>
        </w:rPr>
        <w:t>. „Deshalb werden wir uns durch gezielte Kapazitätsanpassungen und Kostensenkungen an die veränderten Marktbedingungen anpassen. Um uns zukunftsfest aufzustellen, ist eine umfassende Optimierung und Verschlankung unseres Produktionsnetzwerkes und unserer Prozesse notwendig. Uns ist bewusst, dass dieser Weg Vielen vieles abverlangen wird, vor allem weil wir in den nächsten Jahren eine große Zahl an Arbeitsplätzen abbauen müssen, um wettbewerbsfähiger zu werden. Deshalb ist jetzt umso wichtiger, dass alle Beteiligten gemeinsam Verantwortung übernehmen, um den Stahl voranzubringen. Die Qualität unserer Produkte und unsere Technologiekompetenz sind dabei ein stabiles Fundament für unseren Weg nach vorne. Unsere Kunden können sich auch zukünftig auf unsere hochwertigen Flachstahlprodukte verlassen.“</w:t>
      </w:r>
    </w:p>
    <w:p w14:paraId="6C7C1D59" w14:textId="77777777" w:rsidR="00E26B36" w:rsidRDefault="00E26B36" w:rsidP="00E26B36">
      <w:pPr>
        <w:pStyle w:val="StandardWeb1"/>
        <w:spacing w:line="360" w:lineRule="auto"/>
        <w:jc w:val="both"/>
        <w:rPr>
          <w:rFonts w:ascii="TKTypeRegular" w:hAnsi="TKTypeRegular"/>
          <w:b/>
          <w:bCs/>
          <w:sz w:val="20"/>
          <w:szCs w:val="20"/>
        </w:rPr>
      </w:pPr>
    </w:p>
    <w:p w14:paraId="4294D17F" w14:textId="164B9411" w:rsidR="00E26B36" w:rsidRPr="00E26B36" w:rsidRDefault="00E26B36" w:rsidP="00E26B36">
      <w:pPr>
        <w:pStyle w:val="StandardWeb1"/>
        <w:spacing w:line="360" w:lineRule="auto"/>
        <w:jc w:val="both"/>
        <w:rPr>
          <w:rFonts w:ascii="TKTypeRegular" w:hAnsi="TKTypeRegular"/>
          <w:b/>
          <w:bCs/>
          <w:sz w:val="20"/>
          <w:szCs w:val="20"/>
        </w:rPr>
      </w:pPr>
      <w:r w:rsidRPr="00E26B36">
        <w:rPr>
          <w:rFonts w:ascii="TKTypeRegular" w:hAnsi="TKTypeRegular"/>
          <w:b/>
          <w:bCs/>
          <w:sz w:val="20"/>
          <w:szCs w:val="20"/>
        </w:rPr>
        <w:t>Verselbständigung und weitere Umsetzung des Zukunftskonzeptes</w:t>
      </w:r>
    </w:p>
    <w:p w14:paraId="6235BCD7" w14:textId="77777777" w:rsidR="00E26B36" w:rsidRPr="00E26B36" w:rsidRDefault="00E26B36" w:rsidP="00E26B36">
      <w:pPr>
        <w:pStyle w:val="StandardWeb1"/>
        <w:spacing w:line="360" w:lineRule="auto"/>
        <w:jc w:val="both"/>
        <w:rPr>
          <w:rFonts w:ascii="TKTypeRegular" w:hAnsi="TKTypeRegular"/>
          <w:sz w:val="20"/>
          <w:szCs w:val="20"/>
        </w:rPr>
      </w:pPr>
      <w:r w:rsidRPr="00E26B36">
        <w:rPr>
          <w:rFonts w:ascii="TKTypeRegular" w:hAnsi="TKTypeRegular"/>
          <w:sz w:val="20"/>
          <w:szCs w:val="20"/>
        </w:rPr>
        <w:t xml:space="preserve">Parallel zur Umsetzung des Konzepts geht die thyssenkrupp AG die Verselbständigung des Stahlbereichs weiter an. In einem ersten Schritt wurden dazu bereits 20 Prozent der Anteile von thyssenkrupp Steel an die tschechische EP Group veräußert, mit dem Ziel, die Anteile auf 50 Prozent zu erhöhen. </w:t>
      </w:r>
    </w:p>
    <w:p w14:paraId="429A7DCA" w14:textId="4A1B91B6" w:rsidR="00E26B36" w:rsidRPr="00E26B36" w:rsidRDefault="00E26B36" w:rsidP="00E26B36">
      <w:pPr>
        <w:pStyle w:val="StandardWeb1"/>
        <w:spacing w:line="360" w:lineRule="auto"/>
        <w:jc w:val="both"/>
        <w:rPr>
          <w:rFonts w:ascii="TKTypeRegular" w:hAnsi="TKTypeRegular"/>
          <w:sz w:val="20"/>
          <w:szCs w:val="20"/>
        </w:rPr>
      </w:pPr>
      <w:r w:rsidRPr="00E26B36">
        <w:rPr>
          <w:rFonts w:ascii="TKTypeRegular" w:hAnsi="TKTypeRegular"/>
          <w:sz w:val="20"/>
          <w:szCs w:val="20"/>
        </w:rPr>
        <w:t xml:space="preserve">Das aktuell erarbeitete Eckpunktepapier ist gleichzeitig Grundvoraussetzung für einen trag-fähigen und belastbaren Businessplan und das IDW S6-Gutachten. Alle laufenden Investitionen und Performancemaßnahmen werden wie geplant weiter umgesetzt, um bereits jetzt die Hebel zur Steigerung der Wettbewerbsfähigkeit zu nutzen. Ziel ist es, thyssenkrupp Steel langfristig profitabel, wettbewerbsfähig und klimaneutral aufzustellen. </w:t>
      </w:r>
    </w:p>
    <w:p w14:paraId="4F7CAE45" w14:textId="77777777" w:rsidR="00E26B36" w:rsidRPr="00E26B36" w:rsidRDefault="00E26B36" w:rsidP="00E26B36">
      <w:pPr>
        <w:spacing w:before="100" w:after="120" w:line="360" w:lineRule="auto"/>
        <w:ind w:left="708"/>
        <w:jc w:val="both"/>
        <w:rPr>
          <w:rFonts w:ascii="TKTypeRegular" w:hAnsi="TKTypeRegular"/>
          <w:i/>
          <w:iCs/>
          <w:szCs w:val="20"/>
        </w:rPr>
      </w:pPr>
      <w:r w:rsidRPr="00E26B36">
        <w:rPr>
          <w:rFonts w:ascii="TKTypeRegular" w:hAnsi="TKTypeRegular"/>
          <w:i/>
          <w:iCs/>
          <w:szCs w:val="20"/>
        </w:rPr>
        <w:t xml:space="preserve">„Mit der strategischen und strukturell langfristig ausgerichteten Neuaufstellung werden wir thyssenkrupp Steel nachhaltig fit für die Zukunft machen“, ist </w:t>
      </w:r>
      <w:r w:rsidRPr="00E26B36">
        <w:rPr>
          <w:rFonts w:ascii="TKTypeRegular" w:hAnsi="TKTypeRegular"/>
          <w:b/>
          <w:bCs/>
          <w:i/>
          <w:iCs/>
          <w:szCs w:val="20"/>
        </w:rPr>
        <w:t>Marie Jaroni, Chief Transformation Officer bei thyssenkrupp Steel</w:t>
      </w:r>
      <w:r w:rsidRPr="00E26B36">
        <w:rPr>
          <w:rFonts w:ascii="TKTypeRegular" w:hAnsi="TKTypeRegular"/>
          <w:i/>
          <w:iCs/>
          <w:szCs w:val="20"/>
        </w:rPr>
        <w:t xml:space="preserve">, überzeugt. „Noch haben wir in Bezug auf operative Effizienz und Rentabilität an entscheidenden Stellen im Wettbewerb Aufholbedarf. Diese Lücken müssen wir schließen, wenn wir eine gute Zukunft </w:t>
      </w:r>
      <w:r w:rsidRPr="00E26B36">
        <w:rPr>
          <w:rFonts w:ascii="TKTypeRegular" w:hAnsi="TKTypeRegular"/>
          <w:i/>
          <w:iCs/>
          <w:szCs w:val="20"/>
        </w:rPr>
        <w:lastRenderedPageBreak/>
        <w:t>haben wollen. Dies ist umso wichtiger, weil wir die grüne Transformation konsequent vorantreiben wollen. Sie ist unverzichtbar und wird langfristig das bisherige kohlebasierte Geschäftsmodell ablösen. Die Umsetzung des heute vorgestellten Konzepts wird für unsere Wettbewerbsfähigkeit und damit für unsere Zukunft maßgeblich sein.“</w:t>
      </w:r>
    </w:p>
    <w:p w14:paraId="775621FD" w14:textId="77777777" w:rsidR="00E26B36" w:rsidRDefault="00E26B36" w:rsidP="00E26B36">
      <w:pPr>
        <w:pStyle w:val="StandardWeb1"/>
        <w:spacing w:line="240" w:lineRule="auto"/>
        <w:jc w:val="both"/>
        <w:rPr>
          <w:rFonts w:ascii="TKTypeRegular" w:hAnsi="TKTypeRegular"/>
          <w:sz w:val="20"/>
          <w:szCs w:val="20"/>
        </w:rPr>
      </w:pPr>
    </w:p>
    <w:p w14:paraId="7B630E68" w14:textId="77777777" w:rsidR="00855AE9" w:rsidRDefault="00855AE9" w:rsidP="00E26B36">
      <w:pPr>
        <w:pStyle w:val="StandardWeb1"/>
        <w:spacing w:line="240" w:lineRule="auto"/>
        <w:jc w:val="both"/>
        <w:rPr>
          <w:rFonts w:ascii="TKTypeRegular" w:hAnsi="TKTypeRegular"/>
          <w:sz w:val="20"/>
          <w:szCs w:val="20"/>
        </w:rPr>
      </w:pPr>
    </w:p>
    <w:p w14:paraId="0200F2CE" w14:textId="77777777" w:rsidR="00E26B36" w:rsidRDefault="00E26B36" w:rsidP="00E26B36">
      <w:pPr>
        <w:pStyle w:val="StandardWeb1"/>
        <w:spacing w:line="240" w:lineRule="auto"/>
        <w:jc w:val="both"/>
        <w:rPr>
          <w:rFonts w:ascii="TKTypeRegular" w:hAnsi="TKTypeRegular"/>
          <w:sz w:val="20"/>
          <w:szCs w:val="20"/>
        </w:rPr>
      </w:pPr>
    </w:p>
    <w:p w14:paraId="2863A84F" w14:textId="6DD3F475" w:rsidR="00E26B36" w:rsidRPr="00E26B36" w:rsidRDefault="00E26B36" w:rsidP="00E26B36">
      <w:pPr>
        <w:pStyle w:val="StandardWeb1"/>
        <w:spacing w:line="240" w:lineRule="auto"/>
        <w:jc w:val="both"/>
        <w:rPr>
          <w:rFonts w:ascii="TKTypeRegular" w:hAnsi="TKTypeRegular"/>
          <w:sz w:val="20"/>
          <w:szCs w:val="20"/>
        </w:rPr>
      </w:pPr>
      <w:r w:rsidRPr="00E26B36">
        <w:rPr>
          <w:rFonts w:ascii="TKTypeRegular" w:hAnsi="TKTypeRegular"/>
          <w:sz w:val="20"/>
          <w:szCs w:val="20"/>
        </w:rPr>
        <w:t>Ansprechpartner:</w:t>
      </w:r>
      <w:r w:rsidRPr="00E26B36">
        <w:rPr>
          <w:rFonts w:ascii="TKTypeRegular" w:hAnsi="TKTypeRegular"/>
          <w:sz w:val="20"/>
          <w:szCs w:val="20"/>
        </w:rPr>
        <w:tab/>
      </w:r>
    </w:p>
    <w:p w14:paraId="123CA1C3" w14:textId="77777777" w:rsidR="00E26B36" w:rsidRPr="00E26B36" w:rsidRDefault="00E26B36" w:rsidP="00E26B36">
      <w:pPr>
        <w:pStyle w:val="StandardWeb1"/>
        <w:spacing w:line="240" w:lineRule="auto"/>
        <w:jc w:val="both"/>
        <w:rPr>
          <w:rFonts w:ascii="TKTypeRegular" w:hAnsi="TKTypeRegular"/>
          <w:sz w:val="20"/>
          <w:szCs w:val="20"/>
        </w:rPr>
      </w:pPr>
      <w:r w:rsidRPr="00E26B36">
        <w:rPr>
          <w:rFonts w:ascii="TKTypeRegular" w:hAnsi="TKTypeRegular"/>
          <w:sz w:val="20"/>
          <w:szCs w:val="20"/>
        </w:rPr>
        <w:t>thyssenkrupp Steel Europe AG</w:t>
      </w:r>
    </w:p>
    <w:p w14:paraId="3B167F1F" w14:textId="77777777" w:rsidR="00E26B36" w:rsidRPr="00E26B36" w:rsidRDefault="00E26B36" w:rsidP="00E26B36">
      <w:pPr>
        <w:pStyle w:val="StandardWeb1"/>
        <w:spacing w:line="240" w:lineRule="auto"/>
        <w:jc w:val="both"/>
        <w:rPr>
          <w:rFonts w:ascii="TKTypeRegular" w:hAnsi="TKTypeRegular"/>
          <w:sz w:val="20"/>
          <w:szCs w:val="20"/>
        </w:rPr>
      </w:pPr>
      <w:r w:rsidRPr="00E26B36">
        <w:rPr>
          <w:rFonts w:ascii="TKTypeRegular" w:hAnsi="TKTypeRegular"/>
          <w:sz w:val="20"/>
          <w:szCs w:val="20"/>
        </w:rPr>
        <w:t xml:space="preserve">Mark Stagge, Head of Public &amp; Media Relations </w:t>
      </w:r>
    </w:p>
    <w:p w14:paraId="69179476" w14:textId="77777777" w:rsidR="00E26B36" w:rsidRPr="00E26B36" w:rsidRDefault="00E26B36" w:rsidP="00E26B36">
      <w:pPr>
        <w:pStyle w:val="StandardWeb1"/>
        <w:spacing w:line="240" w:lineRule="auto"/>
        <w:jc w:val="both"/>
        <w:rPr>
          <w:rFonts w:ascii="TKTypeRegular" w:hAnsi="TKTypeRegular"/>
          <w:sz w:val="20"/>
          <w:szCs w:val="20"/>
        </w:rPr>
      </w:pPr>
      <w:r w:rsidRPr="00E26B36">
        <w:rPr>
          <w:rFonts w:ascii="TKTypeRegular" w:hAnsi="TKTypeRegular"/>
          <w:sz w:val="20"/>
          <w:szCs w:val="20"/>
        </w:rPr>
        <w:t>T: +49 173 5971798</w:t>
      </w:r>
    </w:p>
    <w:p w14:paraId="2494979C" w14:textId="48A768A7" w:rsidR="00DF7C16" w:rsidRDefault="00E26B36" w:rsidP="00E26B36">
      <w:pPr>
        <w:pStyle w:val="StandardWeb1"/>
        <w:spacing w:after="0" w:line="240" w:lineRule="auto"/>
        <w:jc w:val="both"/>
        <w:rPr>
          <w:rFonts w:ascii="TKTypeRegular" w:hAnsi="TKTypeRegular"/>
          <w:sz w:val="20"/>
          <w:szCs w:val="20"/>
        </w:rPr>
      </w:pPr>
      <w:r w:rsidRPr="00E26B36">
        <w:rPr>
          <w:rFonts w:ascii="TKTypeRegular" w:hAnsi="TKTypeRegular"/>
          <w:sz w:val="20"/>
          <w:szCs w:val="20"/>
        </w:rPr>
        <w:t>mark.stagge@thyssenkrupp.com</w:t>
      </w:r>
      <w:r w:rsidR="0030680F">
        <w:rPr>
          <w:rFonts w:ascii="TKTypeRegular" w:hAnsi="TKTypeRegular"/>
          <w:sz w:val="20"/>
          <w:szCs w:val="20"/>
        </w:rPr>
        <w:t xml:space="preserve"> </w:t>
      </w:r>
    </w:p>
    <w:p w14:paraId="7388F91C" w14:textId="77777777" w:rsidR="0030680F" w:rsidRDefault="0030680F" w:rsidP="00DE2408">
      <w:pPr>
        <w:pStyle w:val="StandardWeb1"/>
        <w:spacing w:after="0" w:line="360" w:lineRule="auto"/>
        <w:jc w:val="both"/>
        <w:rPr>
          <w:rFonts w:ascii="TKTypeRegular" w:hAnsi="TKTypeRegular"/>
          <w:sz w:val="20"/>
          <w:szCs w:val="20"/>
        </w:rPr>
      </w:pPr>
    </w:p>
    <w:p w14:paraId="68C9A546" w14:textId="77777777" w:rsidR="0030680F" w:rsidRDefault="0030680F" w:rsidP="00DE2408">
      <w:pPr>
        <w:pStyle w:val="StandardWeb1"/>
        <w:spacing w:after="0" w:line="360" w:lineRule="auto"/>
        <w:jc w:val="both"/>
        <w:rPr>
          <w:rFonts w:ascii="TKTypeRegular" w:hAnsi="TKTypeRegular"/>
          <w:sz w:val="20"/>
          <w:szCs w:val="20"/>
        </w:rPr>
      </w:pPr>
    </w:p>
    <w:sectPr w:rsidR="0030680F" w:rsidSect="003B516D">
      <w:headerReference w:type="default" r:id="rId8"/>
      <w:footerReference w:type="default" r:id="rId9"/>
      <w:headerReference w:type="first" r:id="rId10"/>
      <w:footerReference w:type="first" r:id="rId11"/>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A25B" w14:textId="77777777" w:rsidR="00F326FB" w:rsidRDefault="00F326FB" w:rsidP="005B5ABA">
      <w:pPr>
        <w:spacing w:line="240" w:lineRule="auto"/>
      </w:pPr>
      <w:r>
        <w:separator/>
      </w:r>
    </w:p>
  </w:endnote>
  <w:endnote w:type="continuationSeparator" w:id="0">
    <w:p w14:paraId="365160F2" w14:textId="77777777" w:rsidR="00F326FB" w:rsidRDefault="00F326F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E436" w14:textId="77777777" w:rsidR="00040FF0" w:rsidRDefault="005A1A95">
    <w:pPr>
      <w:pStyle w:val="Fuzeile"/>
    </w:pPr>
    <w:r>
      <w:rPr>
        <w:noProof/>
        <w:lang w:eastAsia="de-DE"/>
      </w:rPr>
      <mc:AlternateContent>
        <mc:Choice Requires="wps">
          <w:drawing>
            <wp:anchor distT="180340" distB="0" distL="114300" distR="114300" simplePos="0" relativeHeight="251662336" behindDoc="0" locked="0" layoutInCell="1" allowOverlap="1" wp14:anchorId="0919F28B" wp14:editId="437A7E26">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03224"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1E0452E" w14:textId="77777777" w:rsidR="005F6FC7" w:rsidRPr="006E2447" w:rsidRDefault="005F6FC7" w:rsidP="005F6FC7">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Pr>
                              <w:rFonts w:asciiTheme="majorHAnsi" w:hAnsiTheme="majorHAnsi"/>
                              <w:szCs w:val="14"/>
                              <w:lang w:val="en-US"/>
                            </w:rPr>
                            <w:t>wo</w:t>
                          </w:r>
                          <w:r w:rsidRPr="006E2447">
                            <w:rPr>
                              <w:rFonts w:asciiTheme="majorHAnsi" w:hAnsiTheme="majorHAnsi"/>
                              <w:szCs w:val="14"/>
                              <w:lang w:val="en-US"/>
                            </w:rPr>
                            <w:t xml:space="preserve">man of the Supervisory Board: Ilse </w:t>
                          </w:r>
                          <w:proofErr w:type="spellStart"/>
                          <w:r w:rsidRPr="006E2447">
                            <w:rPr>
                              <w:rFonts w:asciiTheme="majorHAnsi" w:hAnsiTheme="majorHAnsi"/>
                              <w:szCs w:val="14"/>
                              <w:lang w:val="en-US"/>
                            </w:rPr>
                            <w:t>Henne</w:t>
                          </w:r>
                          <w:proofErr w:type="spellEnd"/>
                        </w:p>
                        <w:p w14:paraId="63CAAEBB" w14:textId="77777777" w:rsidR="005F6FC7" w:rsidRPr="005F6FC7" w:rsidRDefault="005F6FC7" w:rsidP="005F6FC7">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(Sprecher/Spokesman), Philipp Conze, Dr.-Ing. Marie Jaroni</w:t>
                          </w:r>
                        </w:p>
                        <w:p w14:paraId="719E1E89" w14:textId="77777777" w:rsidR="005A1A95" w:rsidRPr="002108F1" w:rsidRDefault="005F6FC7" w:rsidP="005F6FC7">
                          <w:pPr>
                            <w:pStyle w:val="Fuzeile"/>
                            <w:ind w:left="0"/>
                            <w:rPr>
                              <w:rFonts w:asciiTheme="majorHAnsi" w:hAnsiTheme="majorHAnsi"/>
                            </w:rPr>
                          </w:pPr>
                          <w:r w:rsidRPr="005F6FC7">
                            <w:rPr>
                              <w:rFonts w:asciiTheme="majorHAnsi" w:hAnsiTheme="majorHAnsi"/>
                              <w:szCs w:val="14"/>
                              <w:lang w:val="en-US"/>
                            </w:rPr>
                            <w:t xml:space="preserve">Sitz der Gesellschaft: Duisburg, </w:t>
                          </w:r>
                          <w:proofErr w:type="spellStart"/>
                          <w:r w:rsidRPr="005F6FC7">
                            <w:rPr>
                              <w:rFonts w:asciiTheme="majorHAnsi" w:hAnsiTheme="majorHAnsi"/>
                              <w:szCs w:val="14"/>
                              <w:lang w:val="en-US"/>
                            </w:rPr>
                            <w:t>Registergericht</w:t>
                          </w:r>
                          <w:proofErr w:type="spellEnd"/>
                          <w:r w:rsidRPr="005F6FC7">
                            <w:rPr>
                              <w:rFonts w:asciiTheme="majorHAnsi" w:hAnsiTheme="majorHAnsi"/>
                              <w:szCs w:val="14"/>
                              <w:lang w:val="en-US"/>
                            </w:rPr>
                            <w:t xml:space="preserve">: Duisburg HR B 9326, </w:t>
                          </w:r>
                          <w:proofErr w:type="spellStart"/>
                          <w:r w:rsidRPr="005F6FC7">
                            <w:rPr>
                              <w:rFonts w:asciiTheme="majorHAnsi" w:hAnsiTheme="majorHAnsi"/>
                              <w:szCs w:val="14"/>
                              <w:lang w:val="en-US"/>
                            </w:rPr>
                            <w:t>USt</w:t>
                          </w:r>
                          <w:proofErr w:type="spellEnd"/>
                          <w:r w:rsidRPr="005F6FC7">
                            <w:rPr>
                              <w:rFonts w:asciiTheme="majorHAnsi" w:hAnsiTheme="majorHAnsi"/>
                              <w:szCs w:val="14"/>
                              <w:lang w:val="en-US"/>
                            </w:rPr>
                            <w:t>.-</w:t>
                          </w:r>
                          <w:proofErr w:type="spellStart"/>
                          <w:r w:rsidRPr="005F6FC7">
                            <w:rPr>
                              <w:rFonts w:asciiTheme="majorHAnsi" w:hAnsiTheme="majorHAnsi"/>
                              <w:szCs w:val="14"/>
                              <w:lang w:val="en-US"/>
                            </w:rPr>
                            <w:t>IDNr</w:t>
                          </w:r>
                          <w:proofErr w:type="spellEnd"/>
                          <w:r w:rsidRPr="005F6FC7">
                            <w:rPr>
                              <w:rFonts w:asciiTheme="majorHAnsi" w:hAnsiTheme="majorHAnsi"/>
                              <w:szCs w:val="14"/>
                              <w:lang w:val="en-US"/>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9F28B" id="Rechteck 6" o:spid="_x0000_s1027" style="position:absolute;left:0;text-align:left;margin-left:45.35pt;margin-top:750.05pt;width:505.25pt;height:58.65pt;z-index:25166233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17903224"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1E0452E" w14:textId="77777777" w:rsidR="005F6FC7" w:rsidRPr="006E2447" w:rsidRDefault="005F6FC7" w:rsidP="005F6FC7">
                    <w:pPr>
                      <w:pStyle w:val="Fuzeile"/>
                      <w:rPr>
                        <w:rFonts w:asciiTheme="majorHAnsi" w:hAnsiTheme="majorHAnsi"/>
                        <w:szCs w:val="14"/>
                        <w:lang w:val="en-US"/>
                      </w:rPr>
                    </w:pPr>
                    <w:r w:rsidRPr="006E2447">
                      <w:rPr>
                        <w:rFonts w:asciiTheme="majorHAnsi" w:hAnsiTheme="majorHAnsi"/>
                        <w:szCs w:val="14"/>
                        <w:lang w:val="en-US"/>
                      </w:rPr>
                      <w:t>Vorsitzende des Aufsichtsrats/Chair</w:t>
                    </w:r>
                    <w:r>
                      <w:rPr>
                        <w:rFonts w:asciiTheme="majorHAnsi" w:hAnsiTheme="majorHAnsi"/>
                        <w:szCs w:val="14"/>
                        <w:lang w:val="en-US"/>
                      </w:rPr>
                      <w:t>wo</w:t>
                    </w:r>
                    <w:r w:rsidRPr="006E2447">
                      <w:rPr>
                        <w:rFonts w:asciiTheme="majorHAnsi" w:hAnsiTheme="majorHAnsi"/>
                        <w:szCs w:val="14"/>
                        <w:lang w:val="en-US"/>
                      </w:rPr>
                      <w:t>man of the Supervisory Board: Ilse Henne</w:t>
                    </w:r>
                  </w:p>
                  <w:p w14:paraId="63CAAEBB" w14:textId="77777777" w:rsidR="005F6FC7" w:rsidRPr="005F6FC7" w:rsidRDefault="005F6FC7" w:rsidP="005F6FC7">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(Sprecher/Spokesman), Philipp Conze, Dr.-Ing. Marie Jaroni</w:t>
                    </w:r>
                  </w:p>
                  <w:p w14:paraId="719E1E89" w14:textId="77777777" w:rsidR="005A1A95" w:rsidRPr="002108F1" w:rsidRDefault="005F6FC7" w:rsidP="005F6FC7">
                    <w:pPr>
                      <w:pStyle w:val="Fuzeile"/>
                      <w:ind w:left="0"/>
                      <w:rPr>
                        <w:rFonts w:asciiTheme="majorHAnsi" w:hAnsiTheme="majorHAnsi"/>
                      </w:rPr>
                    </w:pPr>
                    <w:r w:rsidRPr="005F6FC7">
                      <w:rPr>
                        <w:rFonts w:asciiTheme="majorHAnsi" w:hAnsiTheme="majorHAnsi"/>
                        <w:szCs w:val="14"/>
                        <w:lang w:val="en-US"/>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8B9" w14:textId="77777777" w:rsidR="00AF75F1" w:rsidRDefault="007D3550">
    <w:pPr>
      <w:pStyle w:val="Fuzeile"/>
    </w:pPr>
    <w:r>
      <w:rPr>
        <w:noProof/>
        <w:lang w:eastAsia="de-DE"/>
      </w:rPr>
      <mc:AlternateContent>
        <mc:Choice Requires="wps">
          <w:drawing>
            <wp:anchor distT="180340" distB="0" distL="114300" distR="114300" simplePos="0" relativeHeight="251660288" behindDoc="0" locked="0" layoutInCell="1" allowOverlap="1" wp14:anchorId="44C95659" wp14:editId="7B027463">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F389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4B5BE010" w14:textId="77777777" w:rsidR="000E3852" w:rsidRPr="006E2447" w:rsidRDefault="000E3852" w:rsidP="000E3852">
                          <w:pPr>
                            <w:pStyle w:val="Fuzeile"/>
                            <w:rPr>
                              <w:rFonts w:asciiTheme="majorHAnsi" w:hAnsiTheme="majorHAnsi"/>
                              <w:szCs w:val="14"/>
                              <w:lang w:val="en-US"/>
                            </w:rPr>
                          </w:pPr>
                          <w:proofErr w:type="spellStart"/>
                          <w:r w:rsidRPr="006E2447">
                            <w:rPr>
                              <w:rFonts w:asciiTheme="majorHAnsi" w:hAnsiTheme="majorHAnsi"/>
                              <w:szCs w:val="14"/>
                              <w:lang w:val="en-US"/>
                            </w:rPr>
                            <w:t>Vorsitzende</w:t>
                          </w:r>
                          <w:proofErr w:type="spellEnd"/>
                          <w:r w:rsidRPr="006E2447">
                            <w:rPr>
                              <w:rFonts w:asciiTheme="majorHAnsi" w:hAnsiTheme="majorHAnsi"/>
                              <w:szCs w:val="14"/>
                              <w:lang w:val="en-US"/>
                            </w:rPr>
                            <w:t xml:space="preserve"> des </w:t>
                          </w:r>
                          <w:proofErr w:type="spellStart"/>
                          <w:r w:rsidRPr="006E2447">
                            <w:rPr>
                              <w:rFonts w:asciiTheme="majorHAnsi" w:hAnsiTheme="majorHAnsi"/>
                              <w:szCs w:val="14"/>
                              <w:lang w:val="en-US"/>
                            </w:rPr>
                            <w:t>Aufsichtsrats</w:t>
                          </w:r>
                          <w:proofErr w:type="spellEnd"/>
                          <w:r w:rsidRPr="006E2447">
                            <w:rPr>
                              <w:rFonts w:asciiTheme="majorHAnsi" w:hAnsiTheme="majorHAnsi"/>
                              <w:szCs w:val="14"/>
                              <w:lang w:val="en-US"/>
                            </w:rPr>
                            <w:t>/Chair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 xml:space="preserve">Ilse </w:t>
                          </w:r>
                          <w:proofErr w:type="spellStart"/>
                          <w:r w:rsidR="006E2447" w:rsidRPr="006E2447">
                            <w:rPr>
                              <w:rFonts w:asciiTheme="majorHAnsi" w:hAnsiTheme="majorHAnsi"/>
                              <w:szCs w:val="14"/>
                              <w:lang w:val="en-US"/>
                            </w:rPr>
                            <w:t>Henne</w:t>
                          </w:r>
                          <w:proofErr w:type="spellEnd"/>
                        </w:p>
                        <w:p w14:paraId="1EAF9769" w14:textId="77777777" w:rsidR="00D00B2E" w:rsidRPr="005F6FC7" w:rsidRDefault="00D00B2E" w:rsidP="00D00B2E">
                          <w:pPr>
                            <w:pStyle w:val="Fuzeile"/>
                            <w:ind w:left="0"/>
                            <w:rPr>
                              <w:rFonts w:asciiTheme="majorHAnsi" w:hAnsiTheme="majorHAnsi"/>
                              <w:szCs w:val="14"/>
                              <w:lang w:val="en-US"/>
                            </w:rPr>
                          </w:pPr>
                          <w:proofErr w:type="spellStart"/>
                          <w:r w:rsidRPr="005F6FC7">
                            <w:rPr>
                              <w:rFonts w:asciiTheme="majorHAnsi" w:hAnsiTheme="majorHAnsi"/>
                              <w:szCs w:val="14"/>
                              <w:lang w:val="en-US"/>
                            </w:rPr>
                            <w:t>Vorstand</w:t>
                          </w:r>
                          <w:proofErr w:type="spellEnd"/>
                          <w:r w:rsidRPr="005F6FC7">
                            <w:rPr>
                              <w:rFonts w:asciiTheme="majorHAnsi" w:hAnsiTheme="majorHAnsi"/>
                              <w:szCs w:val="14"/>
                              <w:lang w:val="en-US"/>
                            </w:rPr>
                            <w:t>/Executive Board: Dennis Grimm (Sprecher</w:t>
                          </w:r>
                          <w:r w:rsidR="006E2447" w:rsidRPr="005F6FC7">
                            <w:rPr>
                              <w:rFonts w:asciiTheme="majorHAnsi" w:hAnsiTheme="majorHAnsi"/>
                              <w:szCs w:val="14"/>
                              <w:lang w:val="en-US"/>
                            </w:rPr>
                            <w:t>/Spokesman), Philipp Conze, Dr.-Ing. Marie Jaroni</w:t>
                          </w:r>
                        </w:p>
                        <w:p w14:paraId="51506991" w14:textId="77777777" w:rsidR="007D3550" w:rsidRPr="002108F1" w:rsidRDefault="002108F1" w:rsidP="000E3852">
                          <w:pPr>
                            <w:pStyle w:val="Fuzeile"/>
                            <w:ind w:left="0"/>
                            <w:rPr>
                              <w:rFonts w:asciiTheme="majorHAnsi" w:hAnsiTheme="majorHAnsi"/>
                            </w:rPr>
                          </w:pPr>
                          <w:r w:rsidRPr="005F6FC7">
                            <w:rPr>
                              <w:rFonts w:asciiTheme="majorHAnsi" w:hAnsiTheme="majorHAnsi"/>
                              <w:szCs w:val="14"/>
                              <w:lang w:val="en-US"/>
                            </w:rPr>
                            <w:t xml:space="preserve">Sitz der Gesellschaft: Duisburg, </w:t>
                          </w:r>
                          <w:proofErr w:type="spellStart"/>
                          <w:r w:rsidRPr="005F6FC7">
                            <w:rPr>
                              <w:rFonts w:asciiTheme="majorHAnsi" w:hAnsiTheme="majorHAnsi"/>
                              <w:szCs w:val="14"/>
                              <w:lang w:val="en-US"/>
                            </w:rPr>
                            <w:t>Registergericht</w:t>
                          </w:r>
                          <w:proofErr w:type="spellEnd"/>
                          <w:r w:rsidRPr="005F6FC7">
                            <w:rPr>
                              <w:rFonts w:asciiTheme="majorHAnsi" w:hAnsiTheme="majorHAnsi"/>
                              <w:szCs w:val="14"/>
                              <w:lang w:val="en-US"/>
                            </w:rPr>
                            <w:t xml:space="preserve">: Duisburg HR B 9326, </w:t>
                          </w:r>
                          <w:proofErr w:type="spellStart"/>
                          <w:r w:rsidRPr="005F6FC7">
                            <w:rPr>
                              <w:rFonts w:asciiTheme="majorHAnsi" w:hAnsiTheme="majorHAnsi"/>
                              <w:szCs w:val="14"/>
                              <w:lang w:val="en-US"/>
                            </w:rPr>
                            <w:t>USt</w:t>
                          </w:r>
                          <w:proofErr w:type="spellEnd"/>
                          <w:r w:rsidRPr="005F6FC7">
                            <w:rPr>
                              <w:rFonts w:asciiTheme="majorHAnsi" w:hAnsiTheme="majorHAnsi"/>
                              <w:szCs w:val="14"/>
                              <w:lang w:val="en-US"/>
                            </w:rPr>
                            <w:t>.-</w:t>
                          </w:r>
                          <w:proofErr w:type="spellStart"/>
                          <w:r w:rsidRPr="005F6FC7">
                            <w:rPr>
                              <w:rFonts w:asciiTheme="majorHAnsi" w:hAnsiTheme="majorHAnsi"/>
                              <w:szCs w:val="14"/>
                              <w:lang w:val="en-US"/>
                            </w:rPr>
                            <w:t>IDNr</w:t>
                          </w:r>
                          <w:proofErr w:type="spellEnd"/>
                          <w:r w:rsidRPr="005F6FC7">
                            <w:rPr>
                              <w:rFonts w:asciiTheme="majorHAnsi" w:hAnsiTheme="majorHAnsi"/>
                              <w:szCs w:val="14"/>
                              <w:lang w:val="en-US"/>
                            </w:rPr>
                            <w:t xml:space="preserve">. </w:t>
                          </w:r>
                          <w:r>
                            <w:rPr>
                              <w:rFonts w:asciiTheme="majorHAnsi" w:hAnsiTheme="majorHAnsi"/>
                              <w:szCs w:val="14"/>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95659" id="Rechteck 5" o:spid="_x0000_s1028" style="position:absolute;left:0;text-align:left;margin-left:41.9pt;margin-top:750.05pt;width:510.25pt;height:58.65pt;z-index:25166028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3EF389E"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4B5BE010" w14:textId="77777777" w:rsidR="000E3852" w:rsidRPr="006E2447" w:rsidRDefault="000E3852" w:rsidP="000E3852">
                    <w:pPr>
                      <w:pStyle w:val="Fuzeile"/>
                      <w:rPr>
                        <w:rFonts w:asciiTheme="majorHAnsi" w:hAnsiTheme="majorHAnsi"/>
                        <w:szCs w:val="14"/>
                        <w:lang w:val="en-US"/>
                      </w:rPr>
                    </w:pPr>
                    <w:r w:rsidRPr="006E2447">
                      <w:rPr>
                        <w:rFonts w:asciiTheme="majorHAnsi" w:hAnsiTheme="majorHAnsi"/>
                        <w:szCs w:val="14"/>
                        <w:lang w:val="en-US"/>
                      </w:rPr>
                      <w:t>Vorsitzende des Aufsichtsrats/Chair</w:t>
                    </w:r>
                    <w:r w:rsidR="006E2447">
                      <w:rPr>
                        <w:rFonts w:asciiTheme="majorHAnsi" w:hAnsiTheme="majorHAnsi"/>
                        <w:szCs w:val="14"/>
                        <w:lang w:val="en-US"/>
                      </w:rPr>
                      <w:t>wo</w:t>
                    </w:r>
                    <w:r w:rsidRPr="006E2447">
                      <w:rPr>
                        <w:rFonts w:asciiTheme="majorHAnsi" w:hAnsiTheme="majorHAnsi"/>
                        <w:szCs w:val="14"/>
                        <w:lang w:val="en-US"/>
                      </w:rPr>
                      <w:t xml:space="preserve">man of the Supervisory Board: </w:t>
                    </w:r>
                    <w:r w:rsidR="006E2447" w:rsidRPr="006E2447">
                      <w:rPr>
                        <w:rFonts w:asciiTheme="majorHAnsi" w:hAnsiTheme="majorHAnsi"/>
                        <w:szCs w:val="14"/>
                        <w:lang w:val="en-US"/>
                      </w:rPr>
                      <w:t>Ilse Henne</w:t>
                    </w:r>
                  </w:p>
                  <w:p w14:paraId="1EAF9769" w14:textId="77777777" w:rsidR="00D00B2E" w:rsidRPr="005F6FC7" w:rsidRDefault="00D00B2E" w:rsidP="00D00B2E">
                    <w:pPr>
                      <w:pStyle w:val="Fuzeile"/>
                      <w:ind w:left="0"/>
                      <w:rPr>
                        <w:rFonts w:asciiTheme="majorHAnsi" w:hAnsiTheme="majorHAnsi"/>
                        <w:szCs w:val="14"/>
                        <w:lang w:val="en-US"/>
                      </w:rPr>
                    </w:pPr>
                    <w:r w:rsidRPr="005F6FC7">
                      <w:rPr>
                        <w:rFonts w:asciiTheme="majorHAnsi" w:hAnsiTheme="majorHAnsi"/>
                        <w:szCs w:val="14"/>
                        <w:lang w:val="en-US"/>
                      </w:rPr>
                      <w:t>Vorstand/Executive Board: Dennis Grimm (Sprecher</w:t>
                    </w:r>
                    <w:r w:rsidR="006E2447" w:rsidRPr="005F6FC7">
                      <w:rPr>
                        <w:rFonts w:asciiTheme="majorHAnsi" w:hAnsiTheme="majorHAnsi"/>
                        <w:szCs w:val="14"/>
                        <w:lang w:val="en-US"/>
                      </w:rPr>
                      <w:t>/Spokesman), Philipp Conze, Dr.-Ing. Marie Jaroni</w:t>
                    </w:r>
                  </w:p>
                  <w:p w14:paraId="51506991" w14:textId="77777777" w:rsidR="007D3550" w:rsidRPr="002108F1" w:rsidRDefault="002108F1" w:rsidP="000E3852">
                    <w:pPr>
                      <w:pStyle w:val="Fuzeile"/>
                      <w:ind w:left="0"/>
                      <w:rPr>
                        <w:rFonts w:asciiTheme="majorHAnsi" w:hAnsiTheme="majorHAnsi"/>
                      </w:rPr>
                    </w:pPr>
                    <w:r w:rsidRPr="005F6FC7">
                      <w:rPr>
                        <w:rFonts w:asciiTheme="majorHAnsi" w:hAnsiTheme="majorHAnsi"/>
                        <w:szCs w:val="14"/>
                        <w:lang w:val="en-US"/>
                      </w:rPr>
                      <w:t xml:space="preserve">Sitz der Gesellschaft: Duisburg, Registergericht: Duisburg HR B 9326, USt.-IDNr. </w:t>
                    </w:r>
                    <w:r>
                      <w:rPr>
                        <w:rFonts w:asciiTheme="majorHAnsi" w:hAnsiTheme="majorHAnsi"/>
                        <w:szCs w:val="14"/>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3B79" w14:textId="77777777" w:rsidR="00F326FB" w:rsidRDefault="00F326FB" w:rsidP="005B5ABA">
      <w:pPr>
        <w:spacing w:line="240" w:lineRule="auto"/>
      </w:pPr>
      <w:r>
        <w:separator/>
      </w:r>
    </w:p>
  </w:footnote>
  <w:footnote w:type="continuationSeparator" w:id="0">
    <w:p w14:paraId="3002C270" w14:textId="77777777" w:rsidR="00F326FB" w:rsidRDefault="00F326FB"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D42F" w14:textId="77777777" w:rsidR="005B5ABA" w:rsidRDefault="00CA4CEB" w:rsidP="008D3DFA">
    <w:pPr>
      <w:pStyle w:val="Kopfzeile"/>
      <w:spacing w:after="870" w:line="280" w:lineRule="atLeast"/>
    </w:pPr>
    <w:r>
      <w:rPr>
        <w:noProof/>
        <w:lang w:eastAsia="de-DE"/>
      </w:rPr>
      <w:drawing>
        <wp:anchor distT="0" distB="0" distL="114300" distR="114300" simplePos="0" relativeHeight="251658240" behindDoc="1" locked="0" layoutInCell="1" allowOverlap="1" wp14:anchorId="1F57ABC2" wp14:editId="0164F1C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4144" behindDoc="0" locked="0" layoutInCell="1" allowOverlap="1" wp14:anchorId="189BC033" wp14:editId="2A292FC2">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7F4ED" w14:textId="58558DCD" w:rsidR="00E67FF9" w:rsidRPr="001E7E0A" w:rsidRDefault="00000000" w:rsidP="001E7E0A">
                          <w:pPr>
                            <w:pStyle w:val="Datumsangabe"/>
                          </w:pPr>
                          <w:r>
                            <w:fldChar w:fldCharType="begin"/>
                          </w:r>
                          <w:r>
                            <w:instrText xml:space="preserve"> STYLEREF  Datumsangabe  \* MERGEFORMAT </w:instrText>
                          </w:r>
                          <w:r>
                            <w:fldChar w:fldCharType="separate"/>
                          </w:r>
                          <w:r w:rsidR="00C61E7D">
                            <w:rPr>
                              <w:noProof/>
                            </w:rPr>
                            <w:t>25.11.2024</w:t>
                          </w:r>
                          <w:r>
                            <w:rPr>
                              <w:noProof/>
                            </w:rPr>
                            <w:fldChar w:fldCharType="end"/>
                          </w:r>
                        </w:p>
                        <w:p w14:paraId="05BBDE6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C033" id="Rechteck 1" o:spid="_x0000_s1026" style="position:absolute;margin-left:452.2pt;margin-top:151.55pt;width:98.6pt;height:6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2837F4ED" w14:textId="58558DCD" w:rsidR="00E67FF9" w:rsidRPr="001E7E0A" w:rsidRDefault="00000000" w:rsidP="001E7E0A">
                    <w:pPr>
                      <w:pStyle w:val="Datumsangabe"/>
                    </w:pPr>
                    <w:r>
                      <w:fldChar w:fldCharType="begin"/>
                    </w:r>
                    <w:r>
                      <w:instrText xml:space="preserve"> STYLEREF  Datumsangabe  \* MERGEFORMAT </w:instrText>
                    </w:r>
                    <w:r>
                      <w:fldChar w:fldCharType="separate"/>
                    </w:r>
                    <w:r w:rsidR="00C61E7D">
                      <w:rPr>
                        <w:noProof/>
                      </w:rPr>
                      <w:t>25.11.2024</w:t>
                    </w:r>
                    <w:r>
                      <w:rPr>
                        <w:noProof/>
                      </w:rPr>
                      <w:fldChar w:fldCharType="end"/>
                    </w:r>
                  </w:p>
                  <w:p w14:paraId="05BBDE6D"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0E4071">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0E4071">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4263" w14:textId="77777777" w:rsidR="002D1B27" w:rsidRDefault="00CA4CEB">
    <w:pPr>
      <w:pStyle w:val="Kopfzeile"/>
    </w:pPr>
    <w:r>
      <w:rPr>
        <w:noProof/>
        <w:lang w:eastAsia="de-DE"/>
      </w:rPr>
      <w:drawing>
        <wp:anchor distT="0" distB="0" distL="114300" distR="114300" simplePos="0" relativeHeight="251656192" behindDoc="1" locked="0" layoutInCell="1" allowOverlap="1" wp14:anchorId="4D464A1D" wp14:editId="1C9615A7">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4.5pt;height:4.5pt" o:bullet="t">
        <v:imagedata r:id="rId1" o:title="Bullet_blau_RGB_klein"/>
      </v:shape>
    </w:pict>
  </w:numPicBullet>
  <w:numPicBullet w:numPicBulletId="1">
    <w:pict>
      <v:shape id="_x0000_i1265"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34015412">
    <w:abstractNumId w:val="17"/>
  </w:num>
  <w:num w:numId="2" w16cid:durableId="1970044254">
    <w:abstractNumId w:val="17"/>
  </w:num>
  <w:num w:numId="3" w16cid:durableId="1949777210">
    <w:abstractNumId w:val="17"/>
  </w:num>
  <w:num w:numId="4" w16cid:durableId="1309280880">
    <w:abstractNumId w:val="6"/>
  </w:num>
  <w:num w:numId="5" w16cid:durableId="612128637">
    <w:abstractNumId w:val="11"/>
  </w:num>
  <w:num w:numId="6" w16cid:durableId="1687172298">
    <w:abstractNumId w:val="6"/>
  </w:num>
  <w:num w:numId="7" w16cid:durableId="293217476">
    <w:abstractNumId w:val="11"/>
  </w:num>
  <w:num w:numId="8" w16cid:durableId="31686397">
    <w:abstractNumId w:val="12"/>
  </w:num>
  <w:num w:numId="9" w16cid:durableId="301690840">
    <w:abstractNumId w:val="11"/>
  </w:num>
  <w:num w:numId="10" w16cid:durableId="418336565">
    <w:abstractNumId w:val="11"/>
  </w:num>
  <w:num w:numId="11" w16cid:durableId="926109892">
    <w:abstractNumId w:val="18"/>
  </w:num>
  <w:num w:numId="12" w16cid:durableId="1969629454">
    <w:abstractNumId w:val="18"/>
  </w:num>
  <w:num w:numId="13" w16cid:durableId="1867062315">
    <w:abstractNumId w:val="18"/>
  </w:num>
  <w:num w:numId="14" w16cid:durableId="519392795">
    <w:abstractNumId w:val="1"/>
  </w:num>
  <w:num w:numId="15" w16cid:durableId="434596198">
    <w:abstractNumId w:val="2"/>
  </w:num>
  <w:num w:numId="16" w16cid:durableId="480586722">
    <w:abstractNumId w:val="3"/>
  </w:num>
  <w:num w:numId="17" w16cid:durableId="948586733">
    <w:abstractNumId w:val="7"/>
  </w:num>
  <w:num w:numId="18" w16cid:durableId="948050747">
    <w:abstractNumId w:val="15"/>
  </w:num>
  <w:num w:numId="19" w16cid:durableId="1436436239">
    <w:abstractNumId w:val="14"/>
  </w:num>
  <w:num w:numId="20" w16cid:durableId="1895657622">
    <w:abstractNumId w:val="9"/>
  </w:num>
  <w:num w:numId="21" w16cid:durableId="1439914127">
    <w:abstractNumId w:val="5"/>
  </w:num>
  <w:num w:numId="22" w16cid:durableId="1724016223">
    <w:abstractNumId w:val="0"/>
  </w:num>
  <w:num w:numId="23" w16cid:durableId="1975789755">
    <w:abstractNumId w:val="8"/>
  </w:num>
  <w:num w:numId="24" w16cid:durableId="949582257">
    <w:abstractNumId w:val="4"/>
  </w:num>
  <w:num w:numId="25" w16cid:durableId="917177206">
    <w:abstractNumId w:val="10"/>
  </w:num>
  <w:num w:numId="26" w16cid:durableId="1871648769">
    <w:abstractNumId w:val="13"/>
  </w:num>
  <w:num w:numId="27" w16cid:durableId="642731763">
    <w:abstractNumId w:val="19"/>
  </w:num>
  <w:num w:numId="28" w16cid:durableId="1868441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36"/>
    <w:rsid w:val="00000224"/>
    <w:rsid w:val="00006CFC"/>
    <w:rsid w:val="00010392"/>
    <w:rsid w:val="000106B6"/>
    <w:rsid w:val="00012598"/>
    <w:rsid w:val="00013973"/>
    <w:rsid w:val="000143CF"/>
    <w:rsid w:val="00021A3E"/>
    <w:rsid w:val="00022818"/>
    <w:rsid w:val="000259EE"/>
    <w:rsid w:val="00025C91"/>
    <w:rsid w:val="000261E6"/>
    <w:rsid w:val="00034E40"/>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3852"/>
    <w:rsid w:val="000E4071"/>
    <w:rsid w:val="000E478B"/>
    <w:rsid w:val="000F62A0"/>
    <w:rsid w:val="00102C50"/>
    <w:rsid w:val="001306E1"/>
    <w:rsid w:val="001344DB"/>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0680F"/>
    <w:rsid w:val="00311793"/>
    <w:rsid w:val="00315E81"/>
    <w:rsid w:val="003176DB"/>
    <w:rsid w:val="00320198"/>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2650"/>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2A21"/>
    <w:rsid w:val="005A5767"/>
    <w:rsid w:val="005B5ABA"/>
    <w:rsid w:val="005B7322"/>
    <w:rsid w:val="005C5006"/>
    <w:rsid w:val="005C6FEF"/>
    <w:rsid w:val="005D60CE"/>
    <w:rsid w:val="005E7FCB"/>
    <w:rsid w:val="005F20AA"/>
    <w:rsid w:val="005F22F5"/>
    <w:rsid w:val="005F6FC7"/>
    <w:rsid w:val="005F7605"/>
    <w:rsid w:val="00601D1A"/>
    <w:rsid w:val="00603BC4"/>
    <w:rsid w:val="00606241"/>
    <w:rsid w:val="00606EE4"/>
    <w:rsid w:val="0061054E"/>
    <w:rsid w:val="00614B87"/>
    <w:rsid w:val="00615898"/>
    <w:rsid w:val="00626461"/>
    <w:rsid w:val="00632A81"/>
    <w:rsid w:val="0063584E"/>
    <w:rsid w:val="006366E0"/>
    <w:rsid w:val="00651DB2"/>
    <w:rsid w:val="006550EA"/>
    <w:rsid w:val="00660C5E"/>
    <w:rsid w:val="00663A74"/>
    <w:rsid w:val="00677474"/>
    <w:rsid w:val="00681BAF"/>
    <w:rsid w:val="006870AC"/>
    <w:rsid w:val="00690122"/>
    <w:rsid w:val="0069533D"/>
    <w:rsid w:val="006977CF"/>
    <w:rsid w:val="00697EAC"/>
    <w:rsid w:val="006A2F38"/>
    <w:rsid w:val="006A5CC5"/>
    <w:rsid w:val="006C070F"/>
    <w:rsid w:val="006C1FC9"/>
    <w:rsid w:val="006C2D75"/>
    <w:rsid w:val="006C4DE2"/>
    <w:rsid w:val="006C6040"/>
    <w:rsid w:val="006D2BC1"/>
    <w:rsid w:val="006D76F9"/>
    <w:rsid w:val="006E2447"/>
    <w:rsid w:val="006E3FA2"/>
    <w:rsid w:val="006E5B34"/>
    <w:rsid w:val="006F5AA5"/>
    <w:rsid w:val="006F5FFF"/>
    <w:rsid w:val="007065C5"/>
    <w:rsid w:val="00710D9D"/>
    <w:rsid w:val="00720F11"/>
    <w:rsid w:val="007226A9"/>
    <w:rsid w:val="00724EF3"/>
    <w:rsid w:val="007270C3"/>
    <w:rsid w:val="00741236"/>
    <w:rsid w:val="00741356"/>
    <w:rsid w:val="00743CA5"/>
    <w:rsid w:val="00746FED"/>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3378"/>
    <w:rsid w:val="00817BA6"/>
    <w:rsid w:val="008229FE"/>
    <w:rsid w:val="0082487B"/>
    <w:rsid w:val="0082543E"/>
    <w:rsid w:val="0083279D"/>
    <w:rsid w:val="00841D01"/>
    <w:rsid w:val="00855504"/>
    <w:rsid w:val="008557F5"/>
    <w:rsid w:val="00855AE9"/>
    <w:rsid w:val="0085632E"/>
    <w:rsid w:val="00862A37"/>
    <w:rsid w:val="0086617F"/>
    <w:rsid w:val="008673F6"/>
    <w:rsid w:val="00874877"/>
    <w:rsid w:val="00875F0B"/>
    <w:rsid w:val="0087668E"/>
    <w:rsid w:val="008879F8"/>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95532"/>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5F14"/>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60B4"/>
    <w:rsid w:val="00BB1719"/>
    <w:rsid w:val="00BB2AF7"/>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1E7D"/>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D7614"/>
    <w:rsid w:val="00CE0E65"/>
    <w:rsid w:val="00CE1ACD"/>
    <w:rsid w:val="00CE59D8"/>
    <w:rsid w:val="00CF0342"/>
    <w:rsid w:val="00CF2376"/>
    <w:rsid w:val="00CF2C96"/>
    <w:rsid w:val="00D003F8"/>
    <w:rsid w:val="00D00B2E"/>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676"/>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6B36"/>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1AA9"/>
    <w:rsid w:val="00F326FB"/>
    <w:rsid w:val="00F4093A"/>
    <w:rsid w:val="00F51811"/>
    <w:rsid w:val="00F5603C"/>
    <w:rsid w:val="00F67BFF"/>
    <w:rsid w:val="00F73E27"/>
    <w:rsid w:val="00F83884"/>
    <w:rsid w:val="00F934AC"/>
    <w:rsid w:val="00F96ECB"/>
    <w:rsid w:val="00FA4AC3"/>
    <w:rsid w:val="00FA719A"/>
    <w:rsid w:val="00FA79C7"/>
    <w:rsid w:val="00FB20DF"/>
    <w:rsid w:val="00FB449A"/>
    <w:rsid w:val="00FB5E94"/>
    <w:rsid w:val="00FC42FA"/>
    <w:rsid w:val="00FC44F7"/>
    <w:rsid w:val="00FD23C7"/>
    <w:rsid w:val="00FD768B"/>
    <w:rsid w:val="00FE4C3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C2A6E8"/>
  <w15:docId w15:val="{DD0EAF5A-E576-46E1-A1D6-AFA70685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159390095">
      <w:bodyDiv w:val="1"/>
      <w:marLeft w:val="0"/>
      <w:marRight w:val="0"/>
      <w:marTop w:val="0"/>
      <w:marBottom w:val="0"/>
      <w:divBdr>
        <w:top w:val="none" w:sz="0" w:space="0" w:color="auto"/>
        <w:left w:val="none" w:sz="0" w:space="0" w:color="auto"/>
        <w:bottom w:val="none" w:sz="0" w:space="0" w:color="auto"/>
        <w:right w:val="none" w:sz="0" w:space="0" w:color="auto"/>
      </w:divBdr>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1047468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2024</Template>
  <TotalTime>0</TotalTime>
  <Pages>4</Pages>
  <Words>1133</Words>
  <Characters>6099</Characters>
  <Application>Microsoft Office Word</Application>
  <DocSecurity>0</DocSecurity>
  <Lines>115</Lines>
  <Paragraphs>34</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Christine</dc:creator>
  <cp:lastModifiedBy>Launert, Christine</cp:lastModifiedBy>
  <cp:revision>3</cp:revision>
  <cp:lastPrinted>2018-02-14T17:43:00Z</cp:lastPrinted>
  <dcterms:created xsi:type="dcterms:W3CDTF">2024-11-25T12:55:00Z</dcterms:created>
  <dcterms:modified xsi:type="dcterms:W3CDTF">2024-11-25T12:55:00Z</dcterms:modified>
</cp:coreProperties>
</file>