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2B744E" w:rsidRPr="005957D1" w14:paraId="07141A0B" w14:textId="77777777">
        <w:trPr>
          <w:trHeight w:val="45"/>
        </w:trPr>
        <w:tc>
          <w:tcPr>
            <w:tcW w:w="7655" w:type="dxa"/>
          </w:tcPr>
          <w:p w14:paraId="0A378BC7" w14:textId="77777777" w:rsidR="002B744E" w:rsidRPr="005957D1" w:rsidRDefault="002B744E">
            <w:pPr>
              <w:rPr>
                <w:lang w:val="en-US"/>
              </w:rPr>
            </w:pPr>
          </w:p>
        </w:tc>
        <w:tc>
          <w:tcPr>
            <w:tcW w:w="1724" w:type="dxa"/>
          </w:tcPr>
          <w:p w14:paraId="0FFA0EBD" w14:textId="77777777" w:rsidR="002B744E" w:rsidRPr="005957D1" w:rsidRDefault="00274E77">
            <w:pPr>
              <w:pStyle w:val="BusinessArea"/>
              <w:rPr>
                <w:lang w:val="en-US"/>
              </w:rPr>
            </w:pPr>
            <w:r w:rsidRPr="005957D1">
              <w:rPr>
                <w:lang w:val="en-US"/>
              </w:rPr>
              <w:t>Steel Europe</w:t>
            </w:r>
          </w:p>
        </w:tc>
      </w:tr>
      <w:tr w:rsidR="002B744E" w:rsidRPr="005957D1" w14:paraId="280D5A9C" w14:textId="77777777">
        <w:trPr>
          <w:trHeight w:val="408"/>
        </w:trPr>
        <w:tc>
          <w:tcPr>
            <w:tcW w:w="7655" w:type="dxa"/>
          </w:tcPr>
          <w:p w14:paraId="2937C002" w14:textId="77777777" w:rsidR="002B744E" w:rsidRPr="005957D1" w:rsidRDefault="002B744E">
            <w:pPr>
              <w:rPr>
                <w:lang w:val="en-US"/>
              </w:rPr>
            </w:pPr>
          </w:p>
        </w:tc>
        <w:tc>
          <w:tcPr>
            <w:tcW w:w="1724" w:type="dxa"/>
          </w:tcPr>
          <w:p w14:paraId="5ACDE66A" w14:textId="77777777" w:rsidR="002B744E" w:rsidRPr="005957D1" w:rsidRDefault="002B744E">
            <w:pPr>
              <w:pStyle w:val="BusinessArea"/>
              <w:rPr>
                <w:lang w:val="en-US"/>
              </w:rPr>
            </w:pPr>
          </w:p>
        </w:tc>
      </w:tr>
      <w:tr w:rsidR="002B744E" w:rsidRPr="005957D1" w14:paraId="1A0E5F6F" w14:textId="77777777">
        <w:trPr>
          <w:trHeight w:val="992"/>
        </w:trPr>
        <w:tc>
          <w:tcPr>
            <w:tcW w:w="7655" w:type="dxa"/>
          </w:tcPr>
          <w:p w14:paraId="2359CDF1" w14:textId="77777777" w:rsidR="002B744E" w:rsidRPr="005957D1" w:rsidRDefault="002B744E">
            <w:pPr>
              <w:pStyle w:val="Absenderadresse1"/>
              <w:rPr>
                <w:lang w:val="en-US"/>
              </w:rPr>
            </w:pPr>
          </w:p>
        </w:tc>
        <w:tc>
          <w:tcPr>
            <w:tcW w:w="1724" w:type="dxa"/>
          </w:tcPr>
          <w:p w14:paraId="473E6407" w14:textId="3A620ADA" w:rsidR="002B744E" w:rsidRPr="005957D1" w:rsidRDefault="006B5BB0">
            <w:pPr>
              <w:pStyle w:val="Datumsangabe"/>
              <w:rPr>
                <w:lang w:val="en-US"/>
              </w:rPr>
            </w:pPr>
            <w:r>
              <w:rPr>
                <w:lang w:val="en-US"/>
              </w:rPr>
              <w:t>February 3, 2026</w:t>
            </w:r>
          </w:p>
          <w:p w14:paraId="3F903357" w14:textId="77777777" w:rsidR="002B744E" w:rsidRPr="005957D1" w:rsidRDefault="00274E77">
            <w:pPr>
              <w:pStyle w:val="Seitenzahlangabe"/>
              <w:rPr>
                <w:lang w:val="en-US"/>
              </w:rPr>
            </w:pPr>
            <w:r w:rsidRPr="005957D1">
              <w:rPr>
                <w:lang w:val="en-US"/>
              </w:rPr>
              <w:t xml:space="preserve">Page </w:t>
            </w:r>
            <w:r w:rsidRPr="005957D1">
              <w:rPr>
                <w:lang w:val="en-US"/>
              </w:rPr>
              <w:fldChar w:fldCharType="begin"/>
            </w:r>
            <w:r w:rsidRPr="005957D1">
              <w:rPr>
                <w:lang w:val="en-US"/>
              </w:rPr>
              <w:instrText xml:space="preserve"> PAGE   \* MERGEFORMAT </w:instrText>
            </w:r>
            <w:r w:rsidRPr="005957D1">
              <w:rPr>
                <w:lang w:val="en-US"/>
              </w:rPr>
              <w:fldChar w:fldCharType="separate"/>
            </w:r>
            <w:r w:rsidRPr="005957D1">
              <w:rPr>
                <w:lang w:val="en-US"/>
              </w:rPr>
              <w:t>1</w:t>
            </w:r>
            <w:r w:rsidRPr="005957D1">
              <w:rPr>
                <w:lang w:val="en-US"/>
              </w:rPr>
              <w:fldChar w:fldCharType="end"/>
            </w:r>
            <w:r w:rsidRPr="005957D1">
              <w:rPr>
                <w:lang w:val="en-US"/>
              </w:rPr>
              <w:t>/2</w:t>
            </w:r>
          </w:p>
        </w:tc>
      </w:tr>
    </w:tbl>
    <w:p w14:paraId="346FDC19" w14:textId="77777777" w:rsidR="002B744E" w:rsidRPr="005957D1" w:rsidRDefault="002B744E">
      <w:pPr>
        <w:pStyle w:val="StandardWeb1"/>
        <w:spacing w:line="360" w:lineRule="auto"/>
        <w:jc w:val="both"/>
        <w:rPr>
          <w:rFonts w:ascii="TKTypeRegular" w:hAnsi="TKTypeRegular"/>
          <w:b/>
          <w:sz w:val="20"/>
          <w:lang w:val="en-US"/>
        </w:rPr>
      </w:pPr>
    </w:p>
    <w:p w14:paraId="25E2A778" w14:textId="68C79DDA" w:rsidR="002B744E" w:rsidRPr="006B5BB0" w:rsidRDefault="00274E77">
      <w:pPr>
        <w:pStyle w:val="P68B1DB1-StandardWeb11"/>
        <w:spacing w:line="360" w:lineRule="auto"/>
        <w:jc w:val="both"/>
        <w:rPr>
          <w:lang w:val="en-US"/>
        </w:rPr>
      </w:pPr>
      <w:r w:rsidRPr="006B5BB0">
        <w:rPr>
          <w:lang w:val="en-US"/>
        </w:rPr>
        <w:t xml:space="preserve">Decarbonization of steel production: thyssenkrupp Steel signs contracts securing supply of 230 GWh of green </w:t>
      </w:r>
      <w:r w:rsidR="005957D1" w:rsidRPr="005957D1">
        <w:rPr>
          <w:lang w:val="en-US"/>
        </w:rPr>
        <w:t>electricity</w:t>
      </w:r>
      <w:r w:rsidRPr="006B5BB0">
        <w:rPr>
          <w:lang w:val="en-US"/>
        </w:rPr>
        <w:t xml:space="preserve"> for subsidiaries </w:t>
      </w:r>
    </w:p>
    <w:p w14:paraId="041D477E" w14:textId="7BC13DF2" w:rsidR="002B744E" w:rsidRPr="006B5BB0" w:rsidRDefault="00274E77">
      <w:pPr>
        <w:pStyle w:val="P68B1DB1-xmsonormal2"/>
        <w:numPr>
          <w:ilvl w:val="0"/>
          <w:numId w:val="28"/>
        </w:numPr>
        <w:spacing w:before="100"/>
        <w:ind w:left="714" w:hanging="357"/>
        <w:jc w:val="both"/>
        <w:rPr>
          <w:lang w:val="en-US"/>
        </w:rPr>
      </w:pPr>
      <w:r w:rsidRPr="006B5BB0">
        <w:rPr>
          <w:lang w:val="en-US"/>
        </w:rPr>
        <w:t xml:space="preserve">Newly signed Power Purchase Agreements (PPAs) secure green electricity for subsidiaries </w:t>
      </w:r>
    </w:p>
    <w:p w14:paraId="0D7CF354" w14:textId="154BACAD" w:rsidR="002B744E" w:rsidRPr="006B5BB0" w:rsidRDefault="00274E77">
      <w:pPr>
        <w:pStyle w:val="P68B1DB1-Listenabsatz3"/>
        <w:numPr>
          <w:ilvl w:val="0"/>
          <w:numId w:val="28"/>
        </w:numPr>
        <w:rPr>
          <w:lang w:val="en-US"/>
        </w:rPr>
      </w:pPr>
      <w:r w:rsidRPr="006B5BB0">
        <w:rPr>
          <w:lang w:val="en-US"/>
        </w:rPr>
        <w:t>Sustainable power supply is a crucial component of tk</w:t>
      </w:r>
      <w:r w:rsidR="00E16A76" w:rsidRPr="005957D1">
        <w:rPr>
          <w:lang w:val="en-US"/>
        </w:rPr>
        <w:t xml:space="preserve"> Steel’s </w:t>
      </w:r>
      <w:r w:rsidRPr="006B5BB0">
        <w:rPr>
          <w:lang w:val="en-US"/>
        </w:rPr>
        <w:t>decarbonization strategy</w:t>
      </w:r>
    </w:p>
    <w:p w14:paraId="62DA9832" w14:textId="499ED473" w:rsidR="002B744E" w:rsidRPr="006B5BB0" w:rsidRDefault="00274E77">
      <w:pPr>
        <w:pStyle w:val="P68B1DB1-xmsonormal2"/>
        <w:numPr>
          <w:ilvl w:val="0"/>
          <w:numId w:val="28"/>
        </w:numPr>
        <w:spacing w:before="100"/>
        <w:jc w:val="both"/>
        <w:rPr>
          <w:lang w:val="en-US"/>
        </w:rPr>
      </w:pPr>
      <w:r w:rsidRPr="006B5BB0">
        <w:rPr>
          <w:lang w:val="en-US"/>
        </w:rPr>
        <w:t xml:space="preserve">PPAs </w:t>
      </w:r>
      <w:r w:rsidR="00E16A76" w:rsidRPr="005957D1">
        <w:rPr>
          <w:lang w:val="en-US"/>
        </w:rPr>
        <w:t xml:space="preserve">for green electricity </w:t>
      </w:r>
      <w:r w:rsidRPr="006B5BB0">
        <w:rPr>
          <w:lang w:val="en-US"/>
        </w:rPr>
        <w:t xml:space="preserve">finalized with Quadra Energy, Statkraft, </w:t>
      </w:r>
      <w:r w:rsidR="00BB7F35">
        <w:rPr>
          <w:lang w:val="en-US"/>
        </w:rPr>
        <w:t xml:space="preserve">Centrica Energy, and </w:t>
      </w:r>
      <w:proofErr w:type="spellStart"/>
      <w:r w:rsidR="00BB7F35">
        <w:rPr>
          <w:lang w:val="en-US"/>
        </w:rPr>
        <w:t>Sunnic</w:t>
      </w:r>
      <w:proofErr w:type="spellEnd"/>
      <w:r w:rsidR="00BB7F35">
        <w:rPr>
          <w:lang w:val="en-US"/>
        </w:rPr>
        <w:t xml:space="preserve"> Lighthouse</w:t>
      </w:r>
    </w:p>
    <w:p w14:paraId="770D9BB0" w14:textId="1C4B622A" w:rsidR="002B744E" w:rsidRPr="006B5BB0" w:rsidRDefault="00274E77">
      <w:pPr>
        <w:pStyle w:val="P68B1DB1-xmsonormal2"/>
        <w:numPr>
          <w:ilvl w:val="0"/>
          <w:numId w:val="28"/>
        </w:numPr>
        <w:spacing w:before="100"/>
        <w:jc w:val="both"/>
        <w:rPr>
          <w:lang w:val="en-US"/>
        </w:rPr>
      </w:pPr>
      <w:r w:rsidRPr="006B5BB0">
        <w:rPr>
          <w:lang w:val="en-US"/>
        </w:rPr>
        <w:t>Green electricity from wind and solar (PV) installations in Germany as key lever for CO</w:t>
      </w:r>
      <w:r w:rsidRPr="006B5BB0">
        <w:rPr>
          <w:vertAlign w:val="subscript"/>
          <w:lang w:val="en-US"/>
        </w:rPr>
        <w:t>2</w:t>
      </w:r>
      <w:r w:rsidRPr="006B5BB0">
        <w:rPr>
          <w:lang w:val="en-US"/>
        </w:rPr>
        <w:t>-reduced steel production</w:t>
      </w:r>
    </w:p>
    <w:p w14:paraId="3BCECB83" w14:textId="77777777" w:rsidR="002B744E" w:rsidRPr="006B5BB0" w:rsidRDefault="002B744E">
      <w:pPr>
        <w:pStyle w:val="xmsonormal"/>
        <w:spacing w:before="100"/>
        <w:ind w:left="357"/>
        <w:jc w:val="both"/>
        <w:rPr>
          <w:rFonts w:asciiTheme="minorHAnsi" w:hAnsiTheme="minorHAnsi" w:cstheme="minorHAnsi"/>
          <w:color w:val="000000" w:themeColor="text1"/>
          <w:sz w:val="20"/>
          <w:lang w:val="en-US"/>
        </w:rPr>
      </w:pPr>
    </w:p>
    <w:p w14:paraId="6BE9C11C" w14:textId="77777777" w:rsidR="002B744E" w:rsidRPr="006B5BB0" w:rsidRDefault="002B744E">
      <w:pPr>
        <w:pBdr>
          <w:top w:val="nil"/>
          <w:left w:val="nil"/>
          <w:bottom w:val="nil"/>
          <w:right w:val="nil"/>
          <w:between w:val="nil"/>
        </w:pBdr>
        <w:spacing w:line="240" w:lineRule="auto"/>
        <w:jc w:val="both"/>
        <w:rPr>
          <w:rFonts w:cstheme="minorHAnsi"/>
          <w:lang w:val="en-US"/>
        </w:rPr>
      </w:pPr>
    </w:p>
    <w:p w14:paraId="1EC69C3A" w14:textId="5DF0F807" w:rsidR="002B744E" w:rsidRPr="006B5BB0" w:rsidRDefault="00274E77">
      <w:pPr>
        <w:pStyle w:val="P68B1DB1-Standard4"/>
        <w:pBdr>
          <w:top w:val="nil"/>
          <w:left w:val="nil"/>
          <w:bottom w:val="nil"/>
          <w:right w:val="nil"/>
          <w:between w:val="nil"/>
        </w:pBdr>
        <w:spacing w:line="240" w:lineRule="auto"/>
        <w:jc w:val="both"/>
        <w:rPr>
          <w:lang w:val="en-US"/>
        </w:rPr>
      </w:pPr>
      <w:r w:rsidRPr="006B5BB0">
        <w:rPr>
          <w:lang w:val="en-US"/>
        </w:rPr>
        <w:t xml:space="preserve">Duisburg, February 3, 2026. thyssenkrupp Steel has finalized four contracts securing supply of around 230 GWh </w:t>
      </w:r>
      <w:r w:rsidR="00E16A76" w:rsidRPr="005957D1">
        <w:rPr>
          <w:lang w:val="en-US"/>
        </w:rPr>
        <w:t xml:space="preserve">of </w:t>
      </w:r>
      <w:r w:rsidRPr="006B5BB0">
        <w:rPr>
          <w:lang w:val="en-US"/>
        </w:rPr>
        <w:t xml:space="preserve">green electricity toward the further decarbonization of </w:t>
      </w:r>
      <w:r w:rsidR="00E16A76" w:rsidRPr="005957D1">
        <w:rPr>
          <w:lang w:val="en-US"/>
        </w:rPr>
        <w:t xml:space="preserve">its </w:t>
      </w:r>
      <w:r w:rsidRPr="006B5BB0">
        <w:rPr>
          <w:lang w:val="en-US"/>
        </w:rPr>
        <w:t xml:space="preserve">steel production. The Power Purchase Agreements (PPAs) with the suppliers Quadra Energy, Statkraft, </w:t>
      </w:r>
      <w:r w:rsidR="00BB7F35">
        <w:rPr>
          <w:lang w:val="en-US"/>
        </w:rPr>
        <w:t xml:space="preserve">Centrica Energy, and </w:t>
      </w:r>
      <w:proofErr w:type="spellStart"/>
      <w:r w:rsidR="00BB7F35">
        <w:rPr>
          <w:lang w:val="en-US"/>
        </w:rPr>
        <w:t>Sunnic</w:t>
      </w:r>
      <w:proofErr w:type="spellEnd"/>
      <w:r w:rsidR="00BB7F35">
        <w:rPr>
          <w:lang w:val="en-US"/>
        </w:rPr>
        <w:t xml:space="preserve"> Lighthouse</w:t>
      </w:r>
      <w:r w:rsidRPr="006B5BB0">
        <w:rPr>
          <w:lang w:val="en-US"/>
        </w:rPr>
        <w:t xml:space="preserve"> </w:t>
      </w:r>
      <w:r w:rsidR="00E16A76" w:rsidRPr="005957D1">
        <w:rPr>
          <w:lang w:val="en-US"/>
        </w:rPr>
        <w:t>encompass a portfolio of wind and photovoltaic (PV) installations distributed across Germany</w:t>
      </w:r>
      <w:r w:rsidRPr="006B5BB0">
        <w:rPr>
          <w:lang w:val="en-US"/>
        </w:rPr>
        <w:t xml:space="preserve">. </w:t>
      </w:r>
      <w:r w:rsidR="00BB7F35" w:rsidRPr="00BB7F35">
        <w:rPr>
          <w:lang w:val="en-US"/>
        </w:rPr>
        <w:t>The objective behind the PPAs is to procure additional green electricity for the subsidiaries thyssenkrupp Rasselstein, thyssenkrupp Precision Steel, and thyssenkrupp Electrical Steel</w:t>
      </w:r>
      <w:r w:rsidRPr="006B5BB0">
        <w:rPr>
          <w:lang w:val="en-US"/>
        </w:rPr>
        <w:t xml:space="preserve">. Securing </w:t>
      </w:r>
      <w:r w:rsidR="00E16A76" w:rsidRPr="005957D1">
        <w:rPr>
          <w:lang w:val="en-US"/>
        </w:rPr>
        <w:t xml:space="preserve">supplies of </w:t>
      </w:r>
      <w:r w:rsidRPr="006B5BB0">
        <w:rPr>
          <w:lang w:val="en-US"/>
        </w:rPr>
        <w:t xml:space="preserve">renewable electricity is a </w:t>
      </w:r>
      <w:r w:rsidR="00802089" w:rsidRPr="005957D1">
        <w:rPr>
          <w:lang w:val="en-US"/>
        </w:rPr>
        <w:t>core</w:t>
      </w:r>
      <w:r w:rsidRPr="006B5BB0">
        <w:rPr>
          <w:lang w:val="en-US"/>
        </w:rPr>
        <w:t xml:space="preserve"> component of the energy and transformation strategy pursued by Germany's biggest steel manufacturer.</w:t>
      </w:r>
    </w:p>
    <w:p w14:paraId="44641591" w14:textId="77777777" w:rsidR="002B744E" w:rsidRPr="006B5BB0" w:rsidRDefault="002B744E">
      <w:pPr>
        <w:pBdr>
          <w:top w:val="nil"/>
          <w:left w:val="nil"/>
          <w:bottom w:val="nil"/>
          <w:right w:val="nil"/>
          <w:between w:val="nil"/>
        </w:pBdr>
        <w:spacing w:line="240" w:lineRule="auto"/>
        <w:jc w:val="both"/>
        <w:rPr>
          <w:rFonts w:cstheme="minorHAnsi"/>
          <w:lang w:val="en-US"/>
        </w:rPr>
      </w:pPr>
    </w:p>
    <w:p w14:paraId="1A640AFD" w14:textId="71222D5A" w:rsidR="002B744E" w:rsidRPr="006B5BB0" w:rsidRDefault="00274E77">
      <w:pPr>
        <w:pStyle w:val="P68B1DB1-Standard5"/>
        <w:pBdr>
          <w:top w:val="nil"/>
          <w:left w:val="nil"/>
          <w:bottom w:val="nil"/>
          <w:right w:val="nil"/>
          <w:between w:val="nil"/>
        </w:pBdr>
        <w:spacing w:line="240" w:lineRule="auto"/>
        <w:jc w:val="both"/>
        <w:rPr>
          <w:rFonts w:cstheme="minorHAnsi"/>
          <w:lang w:val="en-US"/>
        </w:rPr>
      </w:pPr>
      <w:r w:rsidRPr="006B5BB0">
        <w:rPr>
          <w:rFonts w:cstheme="minorHAnsi"/>
          <w:lang w:val="en-US"/>
        </w:rPr>
        <w:t xml:space="preserve">PPAs </w:t>
      </w:r>
      <w:r w:rsidR="00053EAF" w:rsidRPr="005957D1">
        <w:rPr>
          <w:rFonts w:cstheme="minorHAnsi"/>
          <w:lang w:val="en-US"/>
        </w:rPr>
        <w:t xml:space="preserve">for green electricity </w:t>
      </w:r>
      <w:r w:rsidRPr="006B5BB0">
        <w:rPr>
          <w:rFonts w:cstheme="minorHAnsi"/>
          <w:lang w:val="en-US"/>
        </w:rPr>
        <w:t>as lever for CO</w:t>
      </w:r>
      <w:r w:rsidRPr="006B5BB0">
        <w:rPr>
          <w:rFonts w:hAnsi="Cambria Math"/>
          <w:lang w:val="en-US"/>
        </w:rPr>
        <w:t>₂</w:t>
      </w:r>
      <w:r w:rsidRPr="006B5BB0">
        <w:rPr>
          <w:rFonts w:hAnsi="Cambria Math"/>
          <w:lang w:val="en-US"/>
        </w:rPr>
        <w:t>-</w:t>
      </w:r>
      <w:r w:rsidRPr="006B5BB0">
        <w:rPr>
          <w:rFonts w:hAnsi="TKTypeRegular"/>
          <w:lang w:val="en-US"/>
        </w:rPr>
        <w:t>reduced steel production</w:t>
      </w:r>
    </w:p>
    <w:p w14:paraId="380AC816" w14:textId="77777777" w:rsidR="002B744E" w:rsidRPr="006B5BB0" w:rsidRDefault="002B744E">
      <w:pPr>
        <w:pBdr>
          <w:top w:val="nil"/>
          <w:left w:val="nil"/>
          <w:bottom w:val="nil"/>
          <w:right w:val="nil"/>
          <w:between w:val="nil"/>
        </w:pBdr>
        <w:spacing w:line="240" w:lineRule="auto"/>
        <w:jc w:val="both"/>
        <w:rPr>
          <w:rFonts w:cstheme="minorHAnsi"/>
          <w:color w:val="auto"/>
          <w:lang w:val="en-US"/>
        </w:rPr>
      </w:pPr>
    </w:p>
    <w:p w14:paraId="3B116CF6" w14:textId="1A4A9ED6" w:rsidR="002B744E" w:rsidRPr="006B5BB0" w:rsidRDefault="00274E77">
      <w:pPr>
        <w:pStyle w:val="P68B1DB1-Standard6"/>
        <w:pBdr>
          <w:top w:val="nil"/>
          <w:left w:val="nil"/>
          <w:bottom w:val="nil"/>
          <w:right w:val="nil"/>
          <w:between w:val="nil"/>
        </w:pBdr>
        <w:spacing w:line="240" w:lineRule="auto"/>
        <w:jc w:val="both"/>
        <w:rPr>
          <w:rFonts w:cstheme="minorHAnsi"/>
          <w:lang w:val="en-US"/>
        </w:rPr>
      </w:pPr>
      <w:r w:rsidRPr="006B5BB0">
        <w:rPr>
          <w:rFonts w:cstheme="minorHAnsi"/>
          <w:lang w:val="en-US"/>
        </w:rPr>
        <w:t>Philipp Conze, Chief Financial Officer (CFO), thyssenkrupp Steel, underlines this aspect: "In concluding the new green power supply contracts, we are advancing our transformation toward CO</w:t>
      </w:r>
      <w:r w:rsidRPr="006B5BB0">
        <w:rPr>
          <w:rFonts w:hAnsi="Cambria Math"/>
          <w:lang w:val="en-US"/>
        </w:rPr>
        <w:t>₂</w:t>
      </w:r>
      <w:r w:rsidRPr="006B5BB0">
        <w:rPr>
          <w:rFonts w:hAnsi="Cambria Math"/>
          <w:lang w:val="en-US"/>
        </w:rPr>
        <w:t>-</w:t>
      </w:r>
      <w:r w:rsidRPr="006B5BB0">
        <w:rPr>
          <w:lang w:val="en-US"/>
        </w:rPr>
        <w:t xml:space="preserve">reduced production. PPAs </w:t>
      </w:r>
      <w:r w:rsidR="00053EAF" w:rsidRPr="005957D1">
        <w:rPr>
          <w:lang w:val="en-US"/>
        </w:rPr>
        <w:t xml:space="preserve">for electricity </w:t>
      </w:r>
      <w:r w:rsidRPr="006B5BB0">
        <w:rPr>
          <w:lang w:val="en-US"/>
        </w:rPr>
        <w:t>are an indispensable component of our decarbonization strategy."</w:t>
      </w:r>
    </w:p>
    <w:p w14:paraId="597E9D78" w14:textId="77777777" w:rsidR="002B744E" w:rsidRPr="006B5BB0" w:rsidRDefault="002B744E">
      <w:pPr>
        <w:pBdr>
          <w:top w:val="nil"/>
          <w:left w:val="nil"/>
          <w:bottom w:val="nil"/>
          <w:right w:val="nil"/>
          <w:between w:val="nil"/>
        </w:pBdr>
        <w:spacing w:line="240" w:lineRule="auto"/>
        <w:jc w:val="both"/>
        <w:rPr>
          <w:rFonts w:cstheme="minorHAnsi"/>
          <w:lang w:val="en-US"/>
        </w:rPr>
      </w:pPr>
    </w:p>
    <w:p w14:paraId="6E3C42C8" w14:textId="200F9D50" w:rsidR="002B744E" w:rsidRDefault="00274E77">
      <w:pPr>
        <w:pStyle w:val="P68B1DB1-Standard4"/>
        <w:pBdr>
          <w:top w:val="nil"/>
          <w:left w:val="nil"/>
          <w:bottom w:val="nil"/>
          <w:right w:val="nil"/>
          <w:between w:val="nil"/>
        </w:pBdr>
        <w:spacing w:line="240" w:lineRule="auto"/>
        <w:jc w:val="both"/>
        <w:rPr>
          <w:color w:val="auto"/>
          <w:lang w:val="en-US"/>
        </w:rPr>
      </w:pPr>
      <w:r w:rsidRPr="006B5BB0">
        <w:rPr>
          <w:lang w:val="en-US"/>
        </w:rPr>
        <w:t>The contract volume of around 230 GWh equates to the typical electricity consum</w:t>
      </w:r>
      <w:r w:rsidR="00E16A76" w:rsidRPr="005957D1">
        <w:rPr>
          <w:lang w:val="en-US"/>
        </w:rPr>
        <w:t>p</w:t>
      </w:r>
      <w:r w:rsidRPr="006B5BB0">
        <w:rPr>
          <w:lang w:val="en-US"/>
        </w:rPr>
        <w:t xml:space="preserve">tion of around 70,000 households. The green power supplies originate from newly commissioned </w:t>
      </w:r>
      <w:r w:rsidR="00E16A76" w:rsidRPr="005957D1">
        <w:rPr>
          <w:lang w:val="en-US"/>
        </w:rPr>
        <w:t xml:space="preserve">solar </w:t>
      </w:r>
      <w:r w:rsidRPr="006B5BB0">
        <w:rPr>
          <w:lang w:val="en-US"/>
        </w:rPr>
        <w:t xml:space="preserve">photovoltaic installations and </w:t>
      </w:r>
      <w:r w:rsidR="00053EAF" w:rsidRPr="005957D1">
        <w:rPr>
          <w:lang w:val="en-US"/>
        </w:rPr>
        <w:t xml:space="preserve">from </w:t>
      </w:r>
      <w:r w:rsidRPr="006B5BB0">
        <w:rPr>
          <w:lang w:val="en-US"/>
        </w:rPr>
        <w:t xml:space="preserve">onshore wind farms in Germany that are no longer </w:t>
      </w:r>
      <w:r w:rsidR="00E16A76" w:rsidRPr="005957D1">
        <w:rPr>
          <w:lang w:val="en-US"/>
        </w:rPr>
        <w:t>state-subsidized</w:t>
      </w:r>
      <w:r w:rsidRPr="006B5BB0">
        <w:rPr>
          <w:lang w:val="en-US"/>
        </w:rPr>
        <w:t xml:space="preserve">. </w:t>
      </w:r>
      <w:r w:rsidR="00BB7F35">
        <w:rPr>
          <w:lang w:val="en-US"/>
        </w:rPr>
        <w:t>Not only does the purchase of green electricity avoid over 70,000 metric tons of CO2 emissions annually, it also enables wind farms in Germany no longer receiving EEC subsidies to continue operating on an economically viable basis</w:t>
      </w:r>
      <w:r w:rsidRPr="006B5BB0">
        <w:rPr>
          <w:color w:val="auto"/>
          <w:lang w:val="en-US"/>
        </w:rPr>
        <w:t xml:space="preserve">. </w:t>
      </w:r>
    </w:p>
    <w:p w14:paraId="6AB68049" w14:textId="77777777" w:rsidR="001478A6" w:rsidRDefault="001478A6">
      <w:pPr>
        <w:pStyle w:val="P68B1DB1-Standard4"/>
        <w:pBdr>
          <w:top w:val="nil"/>
          <w:left w:val="nil"/>
          <w:bottom w:val="nil"/>
          <w:right w:val="nil"/>
          <w:between w:val="nil"/>
        </w:pBdr>
        <w:spacing w:line="240" w:lineRule="auto"/>
        <w:jc w:val="both"/>
        <w:rPr>
          <w:color w:val="auto"/>
          <w:lang w:val="en-US"/>
        </w:rPr>
      </w:pPr>
    </w:p>
    <w:p w14:paraId="4CA7BB98" w14:textId="77777777" w:rsidR="001478A6" w:rsidRDefault="001478A6">
      <w:pPr>
        <w:pStyle w:val="P68B1DB1-Standard4"/>
        <w:pBdr>
          <w:top w:val="nil"/>
          <w:left w:val="nil"/>
          <w:bottom w:val="nil"/>
          <w:right w:val="nil"/>
          <w:between w:val="nil"/>
        </w:pBdr>
        <w:spacing w:line="240" w:lineRule="auto"/>
        <w:jc w:val="both"/>
        <w:rPr>
          <w:color w:val="auto"/>
          <w:lang w:val="en-US"/>
        </w:rPr>
      </w:pPr>
    </w:p>
    <w:p w14:paraId="79CD644C" w14:textId="77777777" w:rsidR="001478A6" w:rsidRPr="006B5BB0" w:rsidRDefault="001478A6">
      <w:pPr>
        <w:pStyle w:val="P68B1DB1-Standard4"/>
        <w:pBdr>
          <w:top w:val="nil"/>
          <w:left w:val="nil"/>
          <w:bottom w:val="nil"/>
          <w:right w:val="nil"/>
          <w:between w:val="nil"/>
        </w:pBdr>
        <w:spacing w:line="240" w:lineRule="auto"/>
        <w:jc w:val="both"/>
        <w:rPr>
          <w:color w:val="auto"/>
          <w:lang w:val="en-US"/>
        </w:rPr>
      </w:pPr>
    </w:p>
    <w:p w14:paraId="3DABE14E" w14:textId="77777777" w:rsidR="002B744E" w:rsidRPr="006B5BB0" w:rsidRDefault="002B744E">
      <w:pPr>
        <w:pBdr>
          <w:top w:val="nil"/>
          <w:left w:val="nil"/>
          <w:bottom w:val="nil"/>
          <w:right w:val="nil"/>
          <w:between w:val="nil"/>
        </w:pBdr>
        <w:spacing w:line="240" w:lineRule="auto"/>
        <w:jc w:val="both"/>
        <w:rPr>
          <w:rFonts w:cstheme="minorHAnsi"/>
          <w:lang w:val="en-US"/>
        </w:rPr>
      </w:pPr>
    </w:p>
    <w:p w14:paraId="59848BE8" w14:textId="77777777" w:rsidR="002B744E" w:rsidRPr="006B5BB0" w:rsidRDefault="002B744E" w:rsidP="006B5BB0">
      <w:pPr>
        <w:pBdr>
          <w:top w:val="nil"/>
          <w:left w:val="nil"/>
          <w:bottom w:val="nil"/>
          <w:right w:val="nil"/>
          <w:between w:val="nil"/>
        </w:pBdr>
        <w:spacing w:line="240" w:lineRule="auto"/>
        <w:jc w:val="right"/>
        <w:rPr>
          <w:rFonts w:cstheme="minorHAnsi"/>
          <w:lang w:val="en-US"/>
        </w:rPr>
      </w:pPr>
    </w:p>
    <w:p w14:paraId="0F5A77D4" w14:textId="76E86C53" w:rsidR="002B744E" w:rsidRPr="006B5BB0" w:rsidRDefault="00BB7F35">
      <w:pPr>
        <w:pStyle w:val="P68B1DB1-Standard7"/>
        <w:pBdr>
          <w:top w:val="nil"/>
          <w:left w:val="nil"/>
          <w:bottom w:val="nil"/>
          <w:right w:val="nil"/>
          <w:between w:val="nil"/>
        </w:pBdr>
        <w:spacing w:line="240" w:lineRule="auto"/>
        <w:jc w:val="both"/>
        <w:rPr>
          <w:lang w:val="en-US"/>
        </w:rPr>
      </w:pPr>
      <w:r>
        <w:rPr>
          <w:lang w:val="en-US"/>
        </w:rPr>
        <w:lastRenderedPageBreak/>
        <w:t xml:space="preserve">Green electricity for the locations in </w:t>
      </w:r>
      <w:proofErr w:type="spellStart"/>
      <w:r>
        <w:rPr>
          <w:lang w:val="en-US"/>
        </w:rPr>
        <w:t>Andernach</w:t>
      </w:r>
      <w:proofErr w:type="spellEnd"/>
      <w:r>
        <w:rPr>
          <w:lang w:val="en-US"/>
        </w:rPr>
        <w:t>, Gelsenkirchen, and Hagen-</w:t>
      </w:r>
      <w:proofErr w:type="spellStart"/>
      <w:r>
        <w:rPr>
          <w:lang w:val="en-US"/>
        </w:rPr>
        <w:t>Hohenlimburg</w:t>
      </w:r>
      <w:proofErr w:type="spellEnd"/>
    </w:p>
    <w:p w14:paraId="1445451D" w14:textId="77777777" w:rsidR="002B744E" w:rsidRPr="006B5BB0" w:rsidRDefault="002B744E">
      <w:pPr>
        <w:pBdr>
          <w:top w:val="nil"/>
          <w:left w:val="nil"/>
          <w:bottom w:val="nil"/>
          <w:right w:val="nil"/>
          <w:between w:val="nil"/>
        </w:pBdr>
        <w:spacing w:line="240" w:lineRule="auto"/>
        <w:jc w:val="both"/>
        <w:rPr>
          <w:rFonts w:cstheme="minorHAnsi"/>
          <w:lang w:val="en-US"/>
        </w:rPr>
      </w:pPr>
    </w:p>
    <w:p w14:paraId="696BEBEB" w14:textId="135BDAB9" w:rsidR="002B744E" w:rsidRPr="006B5BB0" w:rsidRDefault="00274E77">
      <w:pPr>
        <w:pStyle w:val="P68B1DB1-Standard4"/>
        <w:pBdr>
          <w:top w:val="nil"/>
          <w:left w:val="nil"/>
          <w:bottom w:val="nil"/>
          <w:right w:val="nil"/>
          <w:between w:val="nil"/>
        </w:pBdr>
        <w:spacing w:line="240" w:lineRule="auto"/>
        <w:jc w:val="both"/>
        <w:rPr>
          <w:lang w:val="en-US"/>
        </w:rPr>
      </w:pPr>
      <w:r w:rsidRPr="006B5BB0">
        <w:rPr>
          <w:lang w:val="en-US"/>
        </w:rPr>
        <w:t xml:space="preserve">Since the beginning of the year, the green electricity has primarily been supplied to thyssenkrupp Steel subsidiaries thyssenkrupp Rasselstein and thyssenkrupp Electrical Steel. In addition, thyssenkrupp Steel’s subsidiary in Hohenlimburg has been sourcing green electricity from a neighboring wind farm in Hagen-Hohenlimburg since summer 2024. This is the first project nationwide involving power supplied directly from a wind farm to a German industrial company. The green electricity generated in the wind farm is fed directly into the thyssenkrupp Hohenlimburg plant network via a three-kilometer-long cable line. As of now, at least 30 percent of the electricity supplied to the three tkS subsidiaries will be green. By concluding the PPAs, thyssenkrupp Steel is enabling </w:t>
      </w:r>
      <w:r w:rsidR="00802089" w:rsidRPr="005957D1">
        <w:rPr>
          <w:lang w:val="en-US"/>
        </w:rPr>
        <w:t xml:space="preserve">the </w:t>
      </w:r>
      <w:r w:rsidRPr="006B5BB0">
        <w:rPr>
          <w:lang w:val="en-US"/>
        </w:rPr>
        <w:t>even more sustainable production of high-quality steel grades for packaging, transformers, electric motors, and precision applications.</w:t>
      </w:r>
    </w:p>
    <w:p w14:paraId="6C4682B7" w14:textId="77777777" w:rsidR="002B744E" w:rsidRPr="006B5BB0" w:rsidRDefault="002B744E">
      <w:pPr>
        <w:pBdr>
          <w:top w:val="nil"/>
          <w:left w:val="nil"/>
          <w:bottom w:val="nil"/>
          <w:right w:val="nil"/>
          <w:between w:val="nil"/>
        </w:pBdr>
        <w:spacing w:line="240" w:lineRule="auto"/>
        <w:jc w:val="both"/>
        <w:rPr>
          <w:rFonts w:cstheme="minorHAnsi"/>
          <w:color w:val="auto"/>
          <w:lang w:val="en-US"/>
        </w:rPr>
      </w:pPr>
    </w:p>
    <w:p w14:paraId="44172578" w14:textId="6C8D981C" w:rsidR="002B744E" w:rsidRPr="006B5BB0" w:rsidRDefault="00274E77">
      <w:pPr>
        <w:pStyle w:val="P68B1DB1-Standard6"/>
        <w:pBdr>
          <w:top w:val="nil"/>
          <w:left w:val="nil"/>
          <w:bottom w:val="nil"/>
          <w:right w:val="nil"/>
          <w:between w:val="nil"/>
        </w:pBdr>
        <w:spacing w:line="240" w:lineRule="auto"/>
        <w:jc w:val="both"/>
        <w:rPr>
          <w:rFonts w:cstheme="minorHAnsi"/>
          <w:lang w:val="en-US"/>
        </w:rPr>
      </w:pPr>
      <w:r w:rsidRPr="006B5BB0">
        <w:rPr>
          <w:rFonts w:cstheme="minorHAnsi"/>
          <w:lang w:val="en-US"/>
        </w:rPr>
        <w:t xml:space="preserve">Clarissa Odewald, CEO of thyssenkrupp Rasselstein, explains the importance of the PPAs for the packaging steel producer: "Sustainability plays a major role for thyssenkrupp Rasselstein and our customers. Thanks to the new green </w:t>
      </w:r>
      <w:r w:rsidR="00802089" w:rsidRPr="005957D1">
        <w:rPr>
          <w:rFonts w:cstheme="minorHAnsi"/>
          <w:lang w:val="en-US"/>
        </w:rPr>
        <w:t>power</w:t>
      </w:r>
      <w:r w:rsidRPr="006B5BB0">
        <w:rPr>
          <w:rFonts w:cstheme="minorHAnsi"/>
          <w:lang w:val="en-US"/>
        </w:rPr>
        <w:t xml:space="preserve"> supply contracts, we can now save over 50,000 metric tons of CO</w:t>
      </w:r>
      <w:r w:rsidRPr="006B5BB0">
        <w:rPr>
          <w:rFonts w:hAnsi="Cambria Math"/>
          <w:lang w:val="en-US"/>
        </w:rPr>
        <w:t>₂</w:t>
      </w:r>
      <w:r w:rsidRPr="006B5BB0">
        <w:rPr>
          <w:rFonts w:hAnsi="Cambria Math"/>
          <w:lang w:val="en-US"/>
        </w:rPr>
        <w:t xml:space="preserve"> emissions per year.</w:t>
      </w:r>
      <w:r w:rsidRPr="006B5BB0">
        <w:rPr>
          <w:rFonts w:ascii="TKTypeRegular" w:hAnsi="TKTypeRegular" w:cs="TKTypeRegular"/>
          <w:lang w:val="en-US"/>
        </w:rPr>
        <w:t>"</w:t>
      </w:r>
    </w:p>
    <w:p w14:paraId="4705393F" w14:textId="77777777" w:rsidR="002B744E" w:rsidRPr="006B5BB0" w:rsidRDefault="002B744E">
      <w:pPr>
        <w:pBdr>
          <w:top w:val="nil"/>
          <w:left w:val="nil"/>
          <w:bottom w:val="nil"/>
          <w:right w:val="nil"/>
          <w:between w:val="nil"/>
        </w:pBdr>
        <w:spacing w:line="240" w:lineRule="auto"/>
        <w:jc w:val="both"/>
        <w:rPr>
          <w:rFonts w:cstheme="minorHAnsi"/>
          <w:color w:val="FF0000"/>
          <w:lang w:val="en-US"/>
        </w:rPr>
      </w:pPr>
    </w:p>
    <w:p w14:paraId="14353CFF" w14:textId="48E9AEB0" w:rsidR="002B744E" w:rsidRPr="006B5BB0" w:rsidRDefault="00274E77">
      <w:pPr>
        <w:pStyle w:val="P68B1DB1-Standard8"/>
        <w:pBdr>
          <w:top w:val="nil"/>
          <w:left w:val="nil"/>
          <w:bottom w:val="nil"/>
          <w:right w:val="nil"/>
          <w:between w:val="nil"/>
        </w:pBdr>
        <w:spacing w:line="240" w:lineRule="auto"/>
        <w:jc w:val="both"/>
        <w:rPr>
          <w:lang w:val="en-US"/>
        </w:rPr>
      </w:pPr>
      <w:r w:rsidRPr="006B5BB0">
        <w:rPr>
          <w:lang w:val="en-US"/>
        </w:rPr>
        <w:t>Dennis Becher, Head of Energy Management, thyssenkrupp Steel, adds: "</w:t>
      </w:r>
      <w:r w:rsidR="00BB7F35">
        <w:rPr>
          <w:lang w:val="en-US"/>
        </w:rPr>
        <w:t xml:space="preserve">We are delighted about the partnerships with Quadra Energy, Statkraft, Centrica Energy, and </w:t>
      </w:r>
      <w:proofErr w:type="spellStart"/>
      <w:r w:rsidR="00BB7F35">
        <w:rPr>
          <w:lang w:val="en-US"/>
        </w:rPr>
        <w:t>Sunnic</w:t>
      </w:r>
      <w:proofErr w:type="spellEnd"/>
      <w:r w:rsidR="00BB7F35">
        <w:rPr>
          <w:lang w:val="en-US"/>
        </w:rPr>
        <w:t xml:space="preserve"> Lighthouse</w:t>
      </w:r>
      <w:r w:rsidRPr="006B5BB0">
        <w:rPr>
          <w:lang w:val="en-US"/>
        </w:rPr>
        <w:t>. The four new Power Purchase Agreements mean we are further expanding our green electricity portfolio. As thyssenkrupp Steel Europe advances its green transformation, our electricity consumption will rise significantly in the years ahead, driving the need for additional green power supply agreements</w:t>
      </w:r>
      <w:r w:rsidR="005957D1" w:rsidRPr="005957D1">
        <w:rPr>
          <w:lang w:val="en-US"/>
        </w:rPr>
        <w:t>.</w:t>
      </w:r>
      <w:r w:rsidRPr="006B5BB0">
        <w:rPr>
          <w:lang w:val="en-US"/>
        </w:rPr>
        <w:t>"</w:t>
      </w:r>
    </w:p>
    <w:p w14:paraId="17D752DB" w14:textId="77777777" w:rsidR="002B744E" w:rsidRPr="006B5BB0" w:rsidRDefault="002B744E">
      <w:pPr>
        <w:pBdr>
          <w:top w:val="nil"/>
          <w:left w:val="nil"/>
          <w:bottom w:val="nil"/>
          <w:right w:val="nil"/>
          <w:between w:val="nil"/>
        </w:pBdr>
        <w:spacing w:line="240" w:lineRule="auto"/>
        <w:jc w:val="both"/>
        <w:rPr>
          <w:rFonts w:cstheme="minorHAnsi"/>
          <w:color w:val="FF0000"/>
          <w:lang w:val="en-US"/>
        </w:rPr>
      </w:pPr>
    </w:p>
    <w:p w14:paraId="1076DDE4" w14:textId="040BFB00" w:rsidR="002B744E" w:rsidRPr="006B5BB0" w:rsidRDefault="00274E77">
      <w:pPr>
        <w:pStyle w:val="P68B1DB1-Standard9"/>
        <w:pBdr>
          <w:top w:val="nil"/>
          <w:left w:val="nil"/>
          <w:bottom w:val="nil"/>
          <w:right w:val="nil"/>
          <w:between w:val="nil"/>
        </w:pBdr>
        <w:spacing w:line="240" w:lineRule="auto"/>
        <w:jc w:val="both"/>
        <w:rPr>
          <w:lang w:val="en-US"/>
        </w:rPr>
      </w:pPr>
      <w:r w:rsidRPr="006B5BB0">
        <w:rPr>
          <w:lang w:val="en-US"/>
        </w:rPr>
        <w:t xml:space="preserve">Electricity needs set to rise as the green transformation advances </w:t>
      </w:r>
    </w:p>
    <w:p w14:paraId="4677731E" w14:textId="77777777" w:rsidR="002B744E" w:rsidRPr="006B5BB0" w:rsidRDefault="002B744E">
      <w:pPr>
        <w:pBdr>
          <w:top w:val="nil"/>
          <w:left w:val="nil"/>
          <w:bottom w:val="nil"/>
          <w:right w:val="nil"/>
          <w:between w:val="nil"/>
        </w:pBdr>
        <w:spacing w:line="240" w:lineRule="auto"/>
        <w:jc w:val="both"/>
        <w:rPr>
          <w:rFonts w:cstheme="minorHAnsi"/>
          <w:color w:val="FF0000"/>
          <w:lang w:val="en-US"/>
        </w:rPr>
      </w:pPr>
    </w:p>
    <w:p w14:paraId="3EEB8C2E" w14:textId="6C0EF190" w:rsidR="002B744E" w:rsidRPr="006B5BB0" w:rsidRDefault="00274E77">
      <w:pPr>
        <w:pStyle w:val="P68B1DB1-Standard6"/>
        <w:pBdr>
          <w:top w:val="nil"/>
          <w:left w:val="nil"/>
          <w:bottom w:val="nil"/>
          <w:right w:val="nil"/>
          <w:between w:val="nil"/>
        </w:pBdr>
        <w:spacing w:line="240" w:lineRule="auto"/>
        <w:jc w:val="both"/>
        <w:rPr>
          <w:rFonts w:cstheme="minorHAnsi"/>
          <w:lang w:val="en-US"/>
        </w:rPr>
      </w:pPr>
      <w:r w:rsidRPr="006B5BB0">
        <w:rPr>
          <w:rFonts w:cstheme="minorHAnsi"/>
          <w:lang w:val="en-US"/>
        </w:rPr>
        <w:t>thyssenkrupp Steel is pursuing the goal of gradually and permanently decarbonizing its steel production. The core element of the transformation strategy lies in the construction of a hydrogen-capable direct reduction plant. Particularly given that these new climate-friendly technologies are accompanied by a substantially rising demand for electricity and renewable energies, the consistent expansion of energy efficiency</w:t>
      </w:r>
      <w:r w:rsidR="005957D1" w:rsidRPr="005957D1">
        <w:rPr>
          <w:rFonts w:cstheme="minorHAnsi"/>
          <w:lang w:val="en-US"/>
        </w:rPr>
        <w:t xml:space="preserve"> –</w:t>
      </w:r>
      <w:r w:rsidRPr="006B5BB0">
        <w:rPr>
          <w:rFonts w:cstheme="minorHAnsi"/>
          <w:lang w:val="en-US"/>
        </w:rPr>
        <w:t xml:space="preserve"> along with the increased use of renewables</w:t>
      </w:r>
      <w:r w:rsidR="005957D1" w:rsidRPr="005957D1">
        <w:rPr>
          <w:rFonts w:cstheme="minorHAnsi"/>
          <w:lang w:val="en-US"/>
        </w:rPr>
        <w:t xml:space="preserve"> –</w:t>
      </w:r>
      <w:r w:rsidRPr="006B5BB0">
        <w:rPr>
          <w:rFonts w:cstheme="minorHAnsi"/>
          <w:lang w:val="en-US"/>
        </w:rPr>
        <w:t xml:space="preserve"> is a critical success factor for a comprehensive transformation. The procurement of green </w:t>
      </w:r>
      <w:r w:rsidR="005957D1" w:rsidRPr="005957D1">
        <w:rPr>
          <w:rFonts w:cstheme="minorHAnsi"/>
          <w:lang w:val="en-US"/>
        </w:rPr>
        <w:t>electricity</w:t>
      </w:r>
      <w:r w:rsidRPr="006B5BB0">
        <w:rPr>
          <w:rFonts w:cstheme="minorHAnsi"/>
          <w:lang w:val="en-US"/>
        </w:rPr>
        <w:t xml:space="preserve"> via PPAs is a component of this </w:t>
      </w:r>
      <w:r w:rsidR="009337D7" w:rsidRPr="005957D1">
        <w:rPr>
          <w:rFonts w:cstheme="minorHAnsi"/>
          <w:lang w:val="en-US"/>
        </w:rPr>
        <w:t>package</w:t>
      </w:r>
      <w:r w:rsidRPr="006B5BB0">
        <w:rPr>
          <w:rFonts w:cstheme="minorHAnsi"/>
          <w:lang w:val="en-US"/>
        </w:rPr>
        <w:t xml:space="preserve"> of measures</w:t>
      </w:r>
      <w:r w:rsidR="009337D7" w:rsidRPr="005957D1">
        <w:rPr>
          <w:rFonts w:cstheme="minorHAnsi"/>
          <w:lang w:val="en-US"/>
        </w:rPr>
        <w:t>,</w:t>
      </w:r>
      <w:r w:rsidRPr="006B5BB0">
        <w:rPr>
          <w:rFonts w:cstheme="minorHAnsi"/>
          <w:lang w:val="en-US"/>
        </w:rPr>
        <w:t xml:space="preserve"> and is already helping make for a substantial reduction in CO</w:t>
      </w:r>
      <w:r w:rsidRPr="006B5BB0">
        <w:rPr>
          <w:rFonts w:hAnsi="Cambria Math"/>
          <w:lang w:val="en-US"/>
        </w:rPr>
        <w:t>₂</w:t>
      </w:r>
      <w:r w:rsidRPr="006B5BB0">
        <w:rPr>
          <w:rFonts w:hAnsi="Cambria Math"/>
          <w:lang w:val="en-US"/>
        </w:rPr>
        <w:t xml:space="preserve"> emissions. thyssenkrupp Steel is thus making a crucial contribution to industrial transformation and the achievement of climate goals.</w:t>
      </w:r>
    </w:p>
    <w:p w14:paraId="308F6BA2" w14:textId="77777777" w:rsidR="002B744E" w:rsidRPr="006B5BB0" w:rsidRDefault="002B744E">
      <w:pPr>
        <w:pBdr>
          <w:top w:val="nil"/>
          <w:left w:val="nil"/>
          <w:bottom w:val="nil"/>
          <w:right w:val="nil"/>
          <w:between w:val="nil"/>
        </w:pBdr>
        <w:spacing w:line="240" w:lineRule="auto"/>
        <w:jc w:val="both"/>
        <w:rPr>
          <w:rFonts w:cstheme="minorHAnsi"/>
          <w:color w:val="FF0000"/>
          <w:lang w:val="en-US"/>
        </w:rPr>
      </w:pPr>
    </w:p>
    <w:p w14:paraId="7ADCA244" w14:textId="77777777" w:rsidR="002B744E" w:rsidRPr="006B5BB0" w:rsidRDefault="002B744E">
      <w:pPr>
        <w:pBdr>
          <w:top w:val="nil"/>
          <w:left w:val="nil"/>
          <w:bottom w:val="nil"/>
          <w:right w:val="nil"/>
          <w:between w:val="nil"/>
        </w:pBdr>
        <w:spacing w:line="240" w:lineRule="auto"/>
        <w:jc w:val="both"/>
        <w:rPr>
          <w:rFonts w:cstheme="minorHAnsi"/>
          <w:lang w:val="en-US"/>
        </w:rPr>
      </w:pPr>
    </w:p>
    <w:p w14:paraId="4AC25205" w14:textId="77777777" w:rsidR="002B744E" w:rsidRPr="006B5BB0" w:rsidRDefault="002B744E">
      <w:pPr>
        <w:pStyle w:val="StandardWeb1"/>
        <w:spacing w:after="0" w:line="360" w:lineRule="auto"/>
        <w:jc w:val="both"/>
        <w:rPr>
          <w:rFonts w:ascii="TKTypeRegular" w:hAnsi="TKTypeRegular"/>
          <w:sz w:val="20"/>
          <w:lang w:val="en-US"/>
        </w:rPr>
      </w:pPr>
    </w:p>
    <w:p w14:paraId="1BD16887" w14:textId="306B0905" w:rsidR="002B744E" w:rsidRPr="006B5BB0" w:rsidRDefault="00274E77">
      <w:pPr>
        <w:pStyle w:val="P68B1DB1-StandardWeb110"/>
        <w:spacing w:after="0" w:line="288" w:lineRule="auto"/>
        <w:jc w:val="both"/>
        <w:rPr>
          <w:lang w:val="en-US"/>
        </w:rPr>
      </w:pPr>
      <w:r w:rsidRPr="006B5BB0">
        <w:rPr>
          <w:lang w:val="en-US"/>
        </w:rPr>
        <w:t>Contact:</w:t>
      </w:r>
      <w:r w:rsidRPr="006B5BB0">
        <w:rPr>
          <w:lang w:val="en-US"/>
        </w:rPr>
        <w:tab/>
      </w:r>
    </w:p>
    <w:p w14:paraId="4BA3CD4C" w14:textId="77777777" w:rsidR="002B744E" w:rsidRPr="006B5BB0" w:rsidRDefault="00274E77">
      <w:pPr>
        <w:pStyle w:val="P68B1DB1-Standard11"/>
        <w:rPr>
          <w:lang w:val="en-US"/>
        </w:rPr>
      </w:pPr>
      <w:r w:rsidRPr="006B5BB0">
        <w:rPr>
          <w:lang w:val="en-US"/>
        </w:rPr>
        <w:t xml:space="preserve">thyssenkrupp Steel </w:t>
      </w:r>
    </w:p>
    <w:p w14:paraId="6607B6AC" w14:textId="10315C98" w:rsidR="002B744E" w:rsidRPr="006B5BB0" w:rsidRDefault="00274E77">
      <w:pPr>
        <w:pStyle w:val="P68B1DB1-Standard11"/>
        <w:rPr>
          <w:color w:val="auto"/>
          <w:lang w:val="en-US"/>
        </w:rPr>
      </w:pPr>
      <w:r w:rsidRPr="006B5BB0">
        <w:rPr>
          <w:lang w:val="en-US"/>
        </w:rPr>
        <w:t>Roswitha Becker</w:t>
      </w:r>
    </w:p>
    <w:p w14:paraId="50F7CB0F" w14:textId="48791004" w:rsidR="002B744E" w:rsidRPr="006B5BB0" w:rsidRDefault="00274E77">
      <w:pPr>
        <w:pStyle w:val="P68B1DB1-Standard11"/>
        <w:rPr>
          <w:lang w:val="en-US"/>
        </w:rPr>
      </w:pPr>
      <w:r w:rsidRPr="006B5BB0">
        <w:rPr>
          <w:lang w:val="en-US"/>
        </w:rPr>
        <w:t xml:space="preserve">Public and Media Relations </w:t>
      </w:r>
    </w:p>
    <w:p w14:paraId="4D35F1D7" w14:textId="6381E11A" w:rsidR="002B744E" w:rsidRPr="005957D1" w:rsidRDefault="00274E77">
      <w:pPr>
        <w:pStyle w:val="P68B1DB1-Standard12"/>
        <w:spacing w:line="288" w:lineRule="auto"/>
        <w:rPr>
          <w:rFonts w:hAnsiTheme="majorHAnsi"/>
          <w:lang w:val="en-US"/>
        </w:rPr>
      </w:pPr>
      <w:r w:rsidRPr="005957D1">
        <w:rPr>
          <w:lang w:val="en-US"/>
        </w:rPr>
        <w:t>T: +49 203 52 - 44916</w:t>
      </w:r>
    </w:p>
    <w:p w14:paraId="298B9475" w14:textId="3EC71874" w:rsidR="002B744E" w:rsidRPr="005957D1" w:rsidRDefault="002B744E">
      <w:pPr>
        <w:spacing w:line="288" w:lineRule="auto"/>
        <w:rPr>
          <w:rFonts w:asciiTheme="majorHAnsi" w:hAnsiTheme="majorHAnsi"/>
          <w:lang w:val="en-US"/>
        </w:rPr>
      </w:pPr>
      <w:hyperlink r:id="rId11" w:history="1">
        <w:r w:rsidRPr="005957D1">
          <w:rPr>
            <w:rStyle w:val="Hyperlink"/>
            <w:rFonts w:asciiTheme="majorHAnsi" w:hAnsiTheme="majorHAnsi"/>
            <w:lang w:val="en-US"/>
          </w:rPr>
          <w:t>roswitha.becker@thyssenkrupp-steel.com</w:t>
        </w:r>
      </w:hyperlink>
    </w:p>
    <w:p w14:paraId="6ACB0DB0" w14:textId="77777777" w:rsidR="002B744E" w:rsidRPr="005957D1" w:rsidRDefault="002B744E">
      <w:pPr>
        <w:spacing w:line="288" w:lineRule="auto"/>
        <w:rPr>
          <w:rFonts w:asciiTheme="majorHAnsi" w:hAnsiTheme="majorHAnsi"/>
          <w:color w:val="0563C1" w:themeColor="hyperlink"/>
          <w:u w:val="single"/>
          <w:lang w:val="en-US"/>
        </w:rPr>
      </w:pPr>
      <w:hyperlink r:id="rId12" w:history="1">
        <w:r w:rsidRPr="005957D1">
          <w:rPr>
            <w:rStyle w:val="Hyperlink"/>
            <w:rFonts w:asciiTheme="majorHAnsi" w:hAnsiTheme="majorHAnsi"/>
            <w:lang w:val="en-US"/>
          </w:rPr>
          <w:t>www.thyssenkrupp-steel.com</w:t>
        </w:r>
      </w:hyperlink>
    </w:p>
    <w:sectPr w:rsidR="002B744E" w:rsidRPr="005957D1">
      <w:headerReference w:type="default" r:id="rId13"/>
      <w:footerReference w:type="default" r:id="rId14"/>
      <w:headerReference w:type="first" r:id="rId15"/>
      <w:footerReference w:type="first" r:id="rId16"/>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D13BA" w14:textId="77777777" w:rsidR="005C6C5D" w:rsidRDefault="005C6C5D">
      <w:pPr>
        <w:spacing w:line="240" w:lineRule="auto"/>
      </w:pPr>
      <w:r>
        <w:separator/>
      </w:r>
    </w:p>
  </w:endnote>
  <w:endnote w:type="continuationSeparator" w:id="0">
    <w:p w14:paraId="5A15C38B" w14:textId="77777777" w:rsidR="005C6C5D" w:rsidRDefault="005C6C5D">
      <w:pPr>
        <w:spacing w:line="240" w:lineRule="auto"/>
      </w:pPr>
      <w:r>
        <w:continuationSeparator/>
      </w:r>
    </w:p>
  </w:endnote>
  <w:endnote w:type="continuationNotice" w:id="1">
    <w:p w14:paraId="3F6AC396" w14:textId="77777777" w:rsidR="005C6C5D" w:rsidRDefault="005C6C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KTypeRegular">
    <w:altName w:val="Calibri"/>
    <w:panose1 w:val="020B0306040502020204"/>
    <w:charset w:val="00"/>
    <w:family w:val="swiss"/>
    <w:pitch w:val="variable"/>
    <w:sig w:usb0="A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auto"/>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altName w:val="Calibri"/>
    <w:panose1 w:val="020B0606040502020204"/>
    <w:charset w:val="00"/>
    <w:family w:val="swiss"/>
    <w:pitch w:val="variable"/>
    <w:sig w:usb0="800000A7" w:usb1="0000004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9718" w14:textId="77777777" w:rsidR="002B744E" w:rsidRDefault="00274E77">
    <w:pPr>
      <w:pStyle w:val="Fuzeile"/>
    </w:pPr>
    <w:r>
      <w:rPr>
        <w:noProof/>
      </w:rPr>
      <mc:AlternateContent>
        <mc:Choice Requires="wps">
          <w:drawing>
            <wp:anchor distT="180340" distB="0" distL="114300" distR="114300" simplePos="0" relativeHeight="251658244" behindDoc="0" locked="0" layoutInCell="1" allowOverlap="1" wp14:anchorId="22DD728B" wp14:editId="130BD18E">
              <wp:simplePos x="0" y="0"/>
              <wp:positionH relativeFrom="page">
                <wp:posOffset>577850</wp:posOffset>
              </wp:positionH>
              <wp:positionV relativeFrom="page">
                <wp:posOffset>9525000</wp:posOffset>
              </wp:positionV>
              <wp:extent cx="6800850" cy="744855"/>
              <wp:effectExtent l="0" t="0" r="0" b="0"/>
              <wp:wrapTopAndBottom/>
              <wp:docPr id="6" name="Rechteck 6"/>
              <wp:cNvGraphicFramePr/>
              <a:graphic xmlns:a="http://schemas.openxmlformats.org/drawingml/2006/main">
                <a:graphicData uri="http://schemas.microsoft.com/office/word/2010/wordprocessingShape">
                  <wps:wsp>
                    <wps:cNvSpPr/>
                    <wps:spPr>
                      <a:xfrm>
                        <a:off x="0" y="0"/>
                        <a:ext cx="6800850"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761CD0" w14:textId="77777777" w:rsidR="002B744E" w:rsidRDefault="00274E77">
                          <w:pPr>
                            <w:pStyle w:val="P68B1DB1-Fuzeile13"/>
                          </w:pPr>
                          <w:r>
                            <w:t>thyssenkrupp Steel Europe AG, Kaiser-Wilhelm-Strasse 100, 47166 Duisburg, Germany, T: +49 203 52 -25168, press-steel@thyssenkrupp-steel.com, www.thyssenkrupp-steel.com</w:t>
                          </w:r>
                        </w:p>
                        <w:p w14:paraId="3B3C28B6" w14:textId="77777777" w:rsidR="002B744E" w:rsidRPr="006B5BB0" w:rsidRDefault="00274E77">
                          <w:pPr>
                            <w:pStyle w:val="P68B1DB1-Fuzeile13"/>
                            <w:rPr>
                              <w:lang w:val="en-US"/>
                            </w:rPr>
                          </w:pPr>
                          <w:r w:rsidRPr="006B5BB0">
                            <w:rPr>
                              <w:lang w:val="en-US"/>
                            </w:rPr>
                            <w:t>Chairwoman of the Supervisory Board: Ilse Henne</w:t>
                          </w:r>
                        </w:p>
                        <w:p w14:paraId="0DF29D18" w14:textId="544E0623" w:rsidR="002B744E" w:rsidRPr="006B5BB0" w:rsidRDefault="00274E77">
                          <w:pPr>
                            <w:pStyle w:val="P68B1DB1-Fuzeile13"/>
                            <w:rPr>
                              <w:lang w:val="en-US"/>
                            </w:rPr>
                          </w:pPr>
                          <w:r w:rsidRPr="006B5BB0">
                            <w:rPr>
                              <w:lang w:val="en-US"/>
                            </w:rPr>
                            <w:t>Executive Board: Dr.-Ing. Marie Jaroni (Chairwoman), Philipp Conze, Wilfried von Rath, Dr.-Ing. Marco Richrath</w:t>
                          </w:r>
                        </w:p>
                        <w:p w14:paraId="2F81666E" w14:textId="150C4A8F" w:rsidR="002B744E" w:rsidRPr="00802089" w:rsidRDefault="00274E77">
                          <w:pPr>
                            <w:pStyle w:val="P68B1DB1-Fuzeile13"/>
                            <w:rPr>
                              <w:lang w:val="en-US"/>
                            </w:rPr>
                          </w:pPr>
                          <w:r w:rsidRPr="006B5BB0">
                            <w:rPr>
                              <w:lang w:val="en-US"/>
                            </w:rPr>
                            <w:t>Registered office of the company: Duisburg, Register court: Duisburg HR B 9326</w:t>
                          </w:r>
                          <w:r w:rsidR="00802089">
                            <w:rPr>
                              <w:lang w:val="en-US"/>
                            </w:rPr>
                            <w:t>, VAT</w:t>
                          </w:r>
                          <w:r w:rsidRPr="006B5BB0">
                            <w:rPr>
                              <w:lang w:val="en-US"/>
                            </w:rPr>
                            <w:t xml:space="preserve">-ID No. </w:t>
                          </w:r>
                          <w:r w:rsidRPr="00802089">
                            <w:rPr>
                              <w:lang w:val="en-US"/>
                            </w:rPr>
                            <w:t>DE 812 178 585</w:t>
                          </w:r>
                        </w:p>
                        <w:p w14:paraId="60B95284" w14:textId="19A91403" w:rsidR="002B744E" w:rsidRPr="00802089" w:rsidRDefault="002B744E">
                          <w:pPr>
                            <w:pStyle w:val="Fuzeile"/>
                            <w:rPr>
                              <w:lang w:val="en-U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D728B" id="Rechteck 6" o:spid="_x0000_s1027" style="position:absolute;left:0;text-align:left;margin-left:45.5pt;margin-top:750pt;width:535.5pt;height:58.65pt;z-index:2516582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" filled="f" stroked="f" strokeweight="1pt">
              <v:textbox inset="0,0,0,0">
                <w:txbxContent>
                  <w:p w14:paraId="51761CD0" w14:textId="77777777" w:rsidR="002B744E" w:rsidRDefault="00274E77">
                    <w:pPr>
                      <w:pStyle w:val="P68B1DB1-Fuzeile13"/>
                    </w:pPr>
                    <w:r>
                      <w:t>thyssenkrupp Steel Europe AG, Kaiser-Wilhelm-Strasse 100, 47166 Duisburg, Germany, T: +49 203 52 -25168, press-steel@thyssenkrupp-steel.com, www.thyssenkrupp-steel.com</w:t>
                    </w:r>
                  </w:p>
                  <w:p w14:paraId="3B3C28B6" w14:textId="77777777" w:rsidR="002B744E" w:rsidRPr="006B5BB0" w:rsidRDefault="00274E77">
                    <w:pPr>
                      <w:pStyle w:val="P68B1DB1-Fuzeile13"/>
                      <w:rPr>
                        <w:lang w:val="en-US"/>
                      </w:rPr>
                    </w:pPr>
                    <w:r w:rsidRPr="006B5BB0">
                      <w:rPr>
                        <w:lang w:val="en-US"/>
                      </w:rPr>
                      <w:t>Chairwoman of the Supervisory Board: Ilse Henne</w:t>
                    </w:r>
                  </w:p>
                  <w:p w14:paraId="0DF29D18" w14:textId="544E0623" w:rsidR="002B744E" w:rsidRPr="006B5BB0" w:rsidRDefault="00274E77">
                    <w:pPr>
                      <w:pStyle w:val="P68B1DB1-Fuzeile13"/>
                      <w:rPr>
                        <w:lang w:val="en-US"/>
                      </w:rPr>
                    </w:pPr>
                    <w:r w:rsidRPr="006B5BB0">
                      <w:rPr>
                        <w:lang w:val="en-US"/>
                      </w:rPr>
                      <w:t>Executive Board: Dr.-Ing. Marie Jaroni (Chairwoman), Philipp Conze, Wilfried von Rath, Dr.-Ing. Marco Richrath</w:t>
                    </w:r>
                  </w:p>
                  <w:p w14:paraId="2F81666E" w14:textId="150C4A8F" w:rsidR="002B744E" w:rsidRPr="00802089" w:rsidRDefault="00274E77">
                    <w:pPr>
                      <w:pStyle w:val="P68B1DB1-Fuzeile13"/>
                      <w:rPr>
                        <w:lang w:val="en-US"/>
                      </w:rPr>
                    </w:pPr>
                    <w:r w:rsidRPr="006B5BB0">
                      <w:rPr>
                        <w:lang w:val="en-US"/>
                      </w:rPr>
                      <w:t>Registered office of the company: Duisburg, Register court: Duisburg HR B 9326</w:t>
                    </w:r>
                    <w:r w:rsidR="00802089">
                      <w:rPr>
                        <w:lang w:val="en-US"/>
                      </w:rPr>
                      <w:t>, VAT</w:t>
                    </w:r>
                    <w:r w:rsidRPr="006B5BB0">
                      <w:rPr>
                        <w:lang w:val="en-US"/>
                      </w:rPr>
                      <w:t xml:space="preserve">-ID No. </w:t>
                    </w:r>
                    <w:r w:rsidRPr="00802089">
                      <w:rPr>
                        <w:lang w:val="en-US"/>
                      </w:rPr>
                      <w:t>DE 812 178 585</w:t>
                    </w:r>
                  </w:p>
                  <w:p w14:paraId="60B95284" w14:textId="19A91403" w:rsidR="002B744E" w:rsidRPr="00802089" w:rsidRDefault="002B744E">
                    <w:pPr>
                      <w:pStyle w:val="Fuzeile"/>
                      <w:rPr>
                        <w:lang w:val="en-US"/>
                      </w:rPr>
                    </w:pPr>
                  </w:p>
                </w:txbxContent>
              </v:textbox>
              <w10:wrap type="topAndBottom"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FC42" w14:textId="77777777" w:rsidR="002B744E" w:rsidRDefault="00274E77">
    <w:pPr>
      <w:pStyle w:val="Fuzeile"/>
    </w:pPr>
    <w:r>
      <w:rPr>
        <w:noProof/>
      </w:rPr>
      <mc:AlternateContent>
        <mc:Choice Requires="wps">
          <w:drawing>
            <wp:anchor distT="180340" distB="0" distL="114300" distR="114300" simplePos="0" relativeHeight="251658243" behindDoc="0" locked="0" layoutInCell="1" allowOverlap="1" wp14:anchorId="4D08DECA" wp14:editId="4A641C69">
              <wp:simplePos x="0" y="0"/>
              <wp:positionH relativeFrom="page">
                <wp:posOffset>533400</wp:posOffset>
              </wp:positionH>
              <wp:positionV relativeFrom="page">
                <wp:posOffset>9525000</wp:posOffset>
              </wp:positionV>
              <wp:extent cx="6648450" cy="744855"/>
              <wp:effectExtent l="0" t="0" r="0" b="0"/>
              <wp:wrapTopAndBottom/>
              <wp:docPr id="5" name="Rechteck 5"/>
              <wp:cNvGraphicFramePr/>
              <a:graphic xmlns:a="http://schemas.openxmlformats.org/drawingml/2006/main">
                <a:graphicData uri="http://schemas.microsoft.com/office/word/2010/wordprocessingShape">
                  <wps:wsp>
                    <wps:cNvSpPr/>
                    <wps:spPr>
                      <a:xfrm>
                        <a:off x="0" y="0"/>
                        <a:ext cx="6648450"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706BDF" w14:textId="77777777" w:rsidR="002B744E" w:rsidRDefault="00274E77">
                          <w:pPr>
                            <w:pStyle w:val="P68B1DB1-Fuzeile13"/>
                          </w:pPr>
                          <w:r>
                            <w:t>thyssenkrupp Steel Europe AG, Kaiser-Wilhelm-Strasse 100, 47166 Duisburg, Germany, T: +49 203 52 -25168, press-steel@thyssenkrupp-steel.com, www.thyssenkrupp-steel.com</w:t>
                          </w:r>
                        </w:p>
                        <w:p w14:paraId="19E7439F" w14:textId="77777777" w:rsidR="002B744E" w:rsidRPr="006B5BB0" w:rsidRDefault="00274E77">
                          <w:pPr>
                            <w:pStyle w:val="P68B1DB1-Fuzeile13"/>
                            <w:rPr>
                              <w:lang w:val="en-US"/>
                            </w:rPr>
                          </w:pPr>
                          <w:r w:rsidRPr="006B5BB0">
                            <w:rPr>
                              <w:lang w:val="en-US"/>
                            </w:rPr>
                            <w:t>Chairwoman of the Supervisory Board: Ilse Henne</w:t>
                          </w:r>
                        </w:p>
                        <w:p w14:paraId="5819FD08" w14:textId="22006F00" w:rsidR="002B744E" w:rsidRPr="006B5BB0" w:rsidRDefault="00274E77">
                          <w:pPr>
                            <w:pStyle w:val="P68B1DB1-Fuzeile13"/>
                            <w:rPr>
                              <w:lang w:val="en-US"/>
                            </w:rPr>
                          </w:pPr>
                          <w:r w:rsidRPr="006B5BB0">
                            <w:rPr>
                              <w:lang w:val="en-US"/>
                            </w:rPr>
                            <w:t>Executive Board: Dr.-Ing. Marie Jaroni (Chairwoman), Philipp Conze, Wilfried von Rath, Dr.-Ing. Marco Richrath</w:t>
                          </w:r>
                        </w:p>
                        <w:p w14:paraId="780D06AD" w14:textId="688B56D3" w:rsidR="002B744E" w:rsidRPr="00802089" w:rsidRDefault="00274E77">
                          <w:pPr>
                            <w:pStyle w:val="P68B1DB1-Fuzeile13"/>
                            <w:rPr>
                              <w:lang w:val="en-US"/>
                            </w:rPr>
                          </w:pPr>
                          <w:r w:rsidRPr="006B5BB0">
                            <w:rPr>
                              <w:lang w:val="en-US"/>
                            </w:rPr>
                            <w:t>Registered office of the company: Duisburg, Register court: Duisburg HR B 9326</w:t>
                          </w:r>
                          <w:r w:rsidR="00802089">
                            <w:rPr>
                              <w:lang w:val="en-US"/>
                            </w:rPr>
                            <w:t>, VAT</w:t>
                          </w:r>
                          <w:r w:rsidRPr="006B5BB0">
                            <w:rPr>
                              <w:lang w:val="en-US"/>
                            </w:rPr>
                            <w:t xml:space="preserve">-ID No. </w:t>
                          </w:r>
                          <w:r w:rsidRPr="00802089">
                            <w:rPr>
                              <w:lang w:val="en-US"/>
                            </w:rPr>
                            <w:t>DE 812 178 585</w:t>
                          </w:r>
                        </w:p>
                        <w:p w14:paraId="39E30B38" w14:textId="657A7A13" w:rsidR="002B744E" w:rsidRPr="00802089" w:rsidRDefault="002B744E">
                          <w:pPr>
                            <w:pStyle w:val="Fuzeile"/>
                            <w:rPr>
                              <w:lang w:val="en-U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8DECA" id="Rechteck 5" o:spid="_x0000_s1028" style="position:absolute;left:0;text-align:left;margin-left:42pt;margin-top:750pt;width:523.5pt;height:58.65pt;z-index:251658243;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" filled="f" stroked="f" strokeweight="1pt">
              <v:textbox inset="0,0,0,0">
                <w:txbxContent>
                  <w:p w14:paraId="5E706BDF" w14:textId="77777777" w:rsidR="002B744E" w:rsidRDefault="00274E77">
                    <w:pPr>
                      <w:pStyle w:val="P68B1DB1-Fuzeile13"/>
                    </w:pPr>
                    <w:r>
                      <w:t>thyssenkrupp Steel Europe AG, Kaiser-Wilhelm-Strasse 100, 47166 Duisburg, Germany, T: +49 203 52 -25168, press-steel@thyssenkrupp-steel.com, www.thyssenkrupp-steel.com</w:t>
                    </w:r>
                  </w:p>
                  <w:p w14:paraId="19E7439F" w14:textId="77777777" w:rsidR="002B744E" w:rsidRPr="006B5BB0" w:rsidRDefault="00274E77">
                    <w:pPr>
                      <w:pStyle w:val="P68B1DB1-Fuzeile13"/>
                      <w:rPr>
                        <w:lang w:val="en-US"/>
                      </w:rPr>
                    </w:pPr>
                    <w:r w:rsidRPr="006B5BB0">
                      <w:rPr>
                        <w:lang w:val="en-US"/>
                      </w:rPr>
                      <w:t>Chairwoman of the Supervisory Board: Ilse Henne</w:t>
                    </w:r>
                  </w:p>
                  <w:p w14:paraId="5819FD08" w14:textId="22006F00" w:rsidR="002B744E" w:rsidRPr="006B5BB0" w:rsidRDefault="00274E77">
                    <w:pPr>
                      <w:pStyle w:val="P68B1DB1-Fuzeile13"/>
                      <w:rPr>
                        <w:lang w:val="en-US"/>
                      </w:rPr>
                    </w:pPr>
                    <w:r w:rsidRPr="006B5BB0">
                      <w:rPr>
                        <w:lang w:val="en-US"/>
                      </w:rPr>
                      <w:t>Executive Board: Dr.-Ing. Marie Jaroni (Chairwoman), Philipp Conze, Wilfried von Rath, Dr.-Ing. Marco Richrath</w:t>
                    </w:r>
                  </w:p>
                  <w:p w14:paraId="780D06AD" w14:textId="688B56D3" w:rsidR="002B744E" w:rsidRPr="00802089" w:rsidRDefault="00274E77">
                    <w:pPr>
                      <w:pStyle w:val="P68B1DB1-Fuzeile13"/>
                      <w:rPr>
                        <w:lang w:val="en-US"/>
                      </w:rPr>
                    </w:pPr>
                    <w:r w:rsidRPr="006B5BB0">
                      <w:rPr>
                        <w:lang w:val="en-US"/>
                      </w:rPr>
                      <w:t>Registered office of the company: Duisburg, Register court: Duisburg HR B 9326</w:t>
                    </w:r>
                    <w:r w:rsidR="00802089">
                      <w:rPr>
                        <w:lang w:val="en-US"/>
                      </w:rPr>
                      <w:t>, VAT</w:t>
                    </w:r>
                    <w:r w:rsidRPr="006B5BB0">
                      <w:rPr>
                        <w:lang w:val="en-US"/>
                      </w:rPr>
                      <w:t xml:space="preserve">-ID No. </w:t>
                    </w:r>
                    <w:r w:rsidRPr="00802089">
                      <w:rPr>
                        <w:lang w:val="en-US"/>
                      </w:rPr>
                      <w:t>DE 812 178 585</w:t>
                    </w:r>
                  </w:p>
                  <w:p w14:paraId="39E30B38" w14:textId="657A7A13" w:rsidR="002B744E" w:rsidRPr="00802089" w:rsidRDefault="002B744E">
                    <w:pPr>
                      <w:pStyle w:val="Fuzeile"/>
                      <w:rPr>
                        <w:lang w:val="en-US"/>
                      </w:rPr>
                    </w:pP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BAFC" w14:textId="77777777" w:rsidR="005C6C5D" w:rsidRDefault="005C6C5D">
      <w:pPr>
        <w:spacing w:line="240" w:lineRule="auto"/>
      </w:pPr>
      <w:r>
        <w:separator/>
      </w:r>
    </w:p>
  </w:footnote>
  <w:footnote w:type="continuationSeparator" w:id="0">
    <w:p w14:paraId="717816F1" w14:textId="77777777" w:rsidR="005C6C5D" w:rsidRDefault="005C6C5D">
      <w:pPr>
        <w:spacing w:line="240" w:lineRule="auto"/>
      </w:pPr>
      <w:r>
        <w:continuationSeparator/>
      </w:r>
    </w:p>
  </w:footnote>
  <w:footnote w:type="continuationNotice" w:id="1">
    <w:p w14:paraId="6C0AF892" w14:textId="77777777" w:rsidR="005C6C5D" w:rsidRDefault="005C6C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8CBC" w14:textId="77777777" w:rsidR="002B744E" w:rsidRDefault="00274E77">
    <w:pPr>
      <w:pStyle w:val="Kopfzeile"/>
      <w:spacing w:after="870" w:line="280" w:lineRule="atLeast"/>
    </w:pPr>
    <w:r>
      <w:rPr>
        <w:noProof/>
      </w:rPr>
      <w:drawing>
        <wp:anchor distT="0" distB="0" distL="114300" distR="114300" simplePos="0" relativeHeight="251658242" behindDoc="1" locked="0" layoutInCell="1" allowOverlap="1" wp14:anchorId="23EBAECA" wp14:editId="239D4B2F">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645A0EB5" wp14:editId="6DF31E47">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7D479E" w14:textId="34B0431C" w:rsidR="002B744E" w:rsidRDefault="001478A6">
                          <w:pPr>
                            <w:pStyle w:val="Datumsangabe"/>
                          </w:pPr>
                          <w:fldSimple w:instr=" STYLEREF  Datumsangabe  \* MERGEFORMAT ">
                            <w:r w:rsidR="005A033E">
                              <w:rPr>
                                <w:noProof/>
                              </w:rPr>
                              <w:t>February 3, 2026</w:t>
                            </w:r>
                          </w:fldSimple>
                        </w:p>
                        <w:p w14:paraId="1A3143B4" w14:textId="77777777" w:rsidR="002B744E" w:rsidRDefault="00274E77">
                          <w:pPr>
                            <w:pStyle w:val="Seitenzahlangabe"/>
                          </w:pPr>
                          <w:r>
                            <w:t xml:space="preserve">Page </w:t>
                          </w:r>
                          <w:r>
                            <w:fldChar w:fldCharType="begin"/>
                          </w:r>
                          <w:r>
                            <w:instrText xml:space="preserve"> PAGE   \* MERGEFORMAT </w:instrText>
                          </w:r>
                          <w:r>
                            <w:fldChar w:fldCharType="separate"/>
                          </w:r>
                          <w:r>
                            <w:t>2</w:t>
                          </w:r>
                          <w:r>
                            <w:fldChar w:fldCharType="end"/>
                          </w:r>
                          <w:r>
                            <w:t>/</w:t>
                          </w:r>
                          <w:fldSimple w:instr=" NUMPAGES   \* MERGEFORMAT ">
                            <w:r w:rsidR="00847877">
                              <w:rPr>
                                <w:noProof/>
                              </w:rPr>
                              <w:t>2</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A0EB5" id="Rechteck 1" o:spid="_x0000_s1026" style="position:absolute;margin-left:452.2pt;margin-top:151.55pt;width:98.6pt;height:6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" filled="f" stroked="f" strokeweight="1pt">
              <v:textbox inset="0,0,0,0">
                <w:txbxContent>
                  <w:p w14:paraId="0D7D479E" w14:textId="34B0431C" w:rsidR="002B744E" w:rsidRDefault="001478A6">
                    <w:pPr>
                      <w:pStyle w:val="Datumsangabe"/>
                    </w:pPr>
                    <w:fldSimple w:instr=" STYLEREF  Datumsangabe  \* MERGEFORMAT ">
                      <w:r w:rsidR="005A033E">
                        <w:rPr>
                          <w:noProof/>
                        </w:rPr>
                        <w:t>February 3, 2026</w:t>
                      </w:r>
                    </w:fldSimple>
                  </w:p>
                  <w:p w14:paraId="1A3143B4" w14:textId="77777777" w:rsidR="002B744E" w:rsidRDefault="00274E77">
                    <w:pPr>
                      <w:pStyle w:val="Seitenzahlangabe"/>
                    </w:pPr>
                    <w:r>
                      <w:t xml:space="preserve">Page </w:t>
                    </w:r>
                    <w:r>
                      <w:fldChar w:fldCharType="begin"/>
                    </w:r>
                    <w:r>
                      <w:instrText xml:space="preserve"> PAGE   \* MERGEFORMAT </w:instrText>
                    </w:r>
                    <w:r>
                      <w:fldChar w:fldCharType="separate"/>
                    </w:r>
                    <w:r>
                      <w:t>2</w:t>
                    </w:r>
                    <w:r>
                      <w:fldChar w:fldCharType="end"/>
                    </w:r>
                    <w:r>
                      <w:t>/</w:t>
                    </w:r>
                    <w:fldSimple w:instr=" NUMPAGES   \* MERGEFORMAT ">
                      <w:r w:rsidR="00847877">
                        <w:rPr>
                          <w:noProof/>
                        </w:rPr>
                        <w:t>2</w:t>
                      </w:r>
                    </w:fldSimple>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3585" w14:textId="77777777" w:rsidR="002B744E" w:rsidRDefault="00274E77">
    <w:pPr>
      <w:pStyle w:val="Kopfzeile"/>
    </w:pPr>
    <w:r>
      <w:rPr>
        <w:noProof/>
      </w:rPr>
      <w:drawing>
        <wp:anchor distT="0" distB="0" distL="114300" distR="114300" simplePos="0" relativeHeight="251658241" behindDoc="1" locked="0" layoutInCell="1" allowOverlap="1" wp14:anchorId="60D6710D" wp14:editId="1DBBE9E6">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t xml:space="preserve">Press release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75pt" o:bullet="t">
        <v:imagedata r:id="rId1" o:title="Bullet_blau_RGB_klein"/>
      </v:shape>
    </w:pict>
  </w:numPicBullet>
  <w:numPicBullet w:numPicBulletId="1">
    <w:pict>
      <v:shape id="_x0000_i1026" type="#_x0000_t75" style="width:6.75pt;height:6.75pt" o:bullet="t">
        <v:imagedata r:id="rId2" o:title="Bullet_blau_RGB_mittelklein_02"/>
      </v:shape>
    </w:pict>
  </w:numPicBullet>
  <w:abstractNum w:abstractNumId="0"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2"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3"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4"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7"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8"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2"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6"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7DC37E9"/>
    <w:multiLevelType w:val="hybridMultilevel"/>
    <w:tmpl w:val="29DC4B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73851">
    <w:abstractNumId w:val="16"/>
  </w:num>
  <w:num w:numId="2" w16cid:durableId="1406685871">
    <w:abstractNumId w:val="16"/>
  </w:num>
  <w:num w:numId="3" w16cid:durableId="1429740784">
    <w:abstractNumId w:val="16"/>
  </w:num>
  <w:num w:numId="4" w16cid:durableId="330061484">
    <w:abstractNumId w:val="6"/>
  </w:num>
  <w:num w:numId="5" w16cid:durableId="1663506657">
    <w:abstractNumId w:val="11"/>
  </w:num>
  <w:num w:numId="6" w16cid:durableId="1659919153">
    <w:abstractNumId w:val="6"/>
  </w:num>
  <w:num w:numId="7" w16cid:durableId="1031298508">
    <w:abstractNumId w:val="11"/>
  </w:num>
  <w:num w:numId="8" w16cid:durableId="1902519033">
    <w:abstractNumId w:val="12"/>
  </w:num>
  <w:num w:numId="9" w16cid:durableId="69816573">
    <w:abstractNumId w:val="11"/>
  </w:num>
  <w:num w:numId="10" w16cid:durableId="1048608364">
    <w:abstractNumId w:val="11"/>
  </w:num>
  <w:num w:numId="11" w16cid:durableId="747116102">
    <w:abstractNumId w:val="18"/>
  </w:num>
  <w:num w:numId="12" w16cid:durableId="1525705876">
    <w:abstractNumId w:val="18"/>
  </w:num>
  <w:num w:numId="13" w16cid:durableId="812985824">
    <w:abstractNumId w:val="18"/>
  </w:num>
  <w:num w:numId="14" w16cid:durableId="506138540">
    <w:abstractNumId w:val="1"/>
  </w:num>
  <w:num w:numId="15" w16cid:durableId="1778713842">
    <w:abstractNumId w:val="2"/>
  </w:num>
  <w:num w:numId="16" w16cid:durableId="1537043692">
    <w:abstractNumId w:val="3"/>
  </w:num>
  <w:num w:numId="17" w16cid:durableId="1106005076">
    <w:abstractNumId w:val="7"/>
  </w:num>
  <w:num w:numId="18" w16cid:durableId="864172982">
    <w:abstractNumId w:val="15"/>
  </w:num>
  <w:num w:numId="19" w16cid:durableId="8341580">
    <w:abstractNumId w:val="14"/>
  </w:num>
  <w:num w:numId="20" w16cid:durableId="1085302512">
    <w:abstractNumId w:val="9"/>
  </w:num>
  <w:num w:numId="21" w16cid:durableId="723525171">
    <w:abstractNumId w:val="5"/>
  </w:num>
  <w:num w:numId="22" w16cid:durableId="2134052874">
    <w:abstractNumId w:val="0"/>
  </w:num>
  <w:num w:numId="23" w16cid:durableId="273947680">
    <w:abstractNumId w:val="8"/>
  </w:num>
  <w:num w:numId="24" w16cid:durableId="1801995466">
    <w:abstractNumId w:val="4"/>
  </w:num>
  <w:num w:numId="25" w16cid:durableId="178664464">
    <w:abstractNumId w:val="10"/>
  </w:num>
  <w:num w:numId="26" w16cid:durableId="804666232">
    <w:abstractNumId w:val="13"/>
  </w:num>
  <w:num w:numId="27" w16cid:durableId="1559782616">
    <w:abstractNumId w:val="19"/>
  </w:num>
  <w:num w:numId="28" w16cid:durableId="5152732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2C9"/>
    <w:rsid w:val="00000224"/>
    <w:rsid w:val="00000EEF"/>
    <w:rsid w:val="00006CFC"/>
    <w:rsid w:val="00007BB9"/>
    <w:rsid w:val="00010392"/>
    <w:rsid w:val="000106B6"/>
    <w:rsid w:val="00012598"/>
    <w:rsid w:val="00013973"/>
    <w:rsid w:val="000143CF"/>
    <w:rsid w:val="00021A3E"/>
    <w:rsid w:val="00022818"/>
    <w:rsid w:val="000259EE"/>
    <w:rsid w:val="00025C91"/>
    <w:rsid w:val="000261E6"/>
    <w:rsid w:val="000329A4"/>
    <w:rsid w:val="00036E1E"/>
    <w:rsid w:val="00040FF0"/>
    <w:rsid w:val="000416B2"/>
    <w:rsid w:val="00041D56"/>
    <w:rsid w:val="00047629"/>
    <w:rsid w:val="00047BF9"/>
    <w:rsid w:val="00053EAF"/>
    <w:rsid w:val="00054843"/>
    <w:rsid w:val="00056719"/>
    <w:rsid w:val="00056B18"/>
    <w:rsid w:val="0006281E"/>
    <w:rsid w:val="000659DC"/>
    <w:rsid w:val="00065D3B"/>
    <w:rsid w:val="000677D4"/>
    <w:rsid w:val="00067B08"/>
    <w:rsid w:val="00085CC6"/>
    <w:rsid w:val="000863C5"/>
    <w:rsid w:val="00090963"/>
    <w:rsid w:val="00097807"/>
    <w:rsid w:val="000A3C08"/>
    <w:rsid w:val="000A40CF"/>
    <w:rsid w:val="000A7623"/>
    <w:rsid w:val="000B0731"/>
    <w:rsid w:val="000B07A1"/>
    <w:rsid w:val="000B5C1B"/>
    <w:rsid w:val="000B6A80"/>
    <w:rsid w:val="000D312E"/>
    <w:rsid w:val="000D4102"/>
    <w:rsid w:val="000D4D6C"/>
    <w:rsid w:val="000D5867"/>
    <w:rsid w:val="000D64AC"/>
    <w:rsid w:val="000D7645"/>
    <w:rsid w:val="000E4564"/>
    <w:rsid w:val="000E478B"/>
    <w:rsid w:val="000F4CBB"/>
    <w:rsid w:val="000F62A0"/>
    <w:rsid w:val="00102C50"/>
    <w:rsid w:val="00106F15"/>
    <w:rsid w:val="00126661"/>
    <w:rsid w:val="001275CA"/>
    <w:rsid w:val="001306E1"/>
    <w:rsid w:val="001364F9"/>
    <w:rsid w:val="00137A1B"/>
    <w:rsid w:val="00142467"/>
    <w:rsid w:val="00142A34"/>
    <w:rsid w:val="0014474F"/>
    <w:rsid w:val="001451D3"/>
    <w:rsid w:val="00146600"/>
    <w:rsid w:val="001478A6"/>
    <w:rsid w:val="00153B54"/>
    <w:rsid w:val="001553C0"/>
    <w:rsid w:val="00162A87"/>
    <w:rsid w:val="00165354"/>
    <w:rsid w:val="00166977"/>
    <w:rsid w:val="00174160"/>
    <w:rsid w:val="0017592A"/>
    <w:rsid w:val="001769C1"/>
    <w:rsid w:val="00181F00"/>
    <w:rsid w:val="00185574"/>
    <w:rsid w:val="001861FA"/>
    <w:rsid w:val="00186773"/>
    <w:rsid w:val="001918E3"/>
    <w:rsid w:val="001958FF"/>
    <w:rsid w:val="001A259A"/>
    <w:rsid w:val="001A65FD"/>
    <w:rsid w:val="001A69BC"/>
    <w:rsid w:val="001A6CD7"/>
    <w:rsid w:val="001B118B"/>
    <w:rsid w:val="001B1643"/>
    <w:rsid w:val="001B235F"/>
    <w:rsid w:val="001B5D61"/>
    <w:rsid w:val="001B7F7E"/>
    <w:rsid w:val="001C001F"/>
    <w:rsid w:val="001C031C"/>
    <w:rsid w:val="001C2A01"/>
    <w:rsid w:val="001C5486"/>
    <w:rsid w:val="001E0DFD"/>
    <w:rsid w:val="001E125C"/>
    <w:rsid w:val="001E36C6"/>
    <w:rsid w:val="001E7E0A"/>
    <w:rsid w:val="001F1568"/>
    <w:rsid w:val="001F2570"/>
    <w:rsid w:val="001F51C6"/>
    <w:rsid w:val="001F5DBD"/>
    <w:rsid w:val="0020212B"/>
    <w:rsid w:val="002030D0"/>
    <w:rsid w:val="002054F6"/>
    <w:rsid w:val="0020624E"/>
    <w:rsid w:val="00213738"/>
    <w:rsid w:val="00215965"/>
    <w:rsid w:val="002164F8"/>
    <w:rsid w:val="0022174B"/>
    <w:rsid w:val="0022554F"/>
    <w:rsid w:val="00243C72"/>
    <w:rsid w:val="002460B7"/>
    <w:rsid w:val="0024653B"/>
    <w:rsid w:val="00246955"/>
    <w:rsid w:val="00252404"/>
    <w:rsid w:val="0025786F"/>
    <w:rsid w:val="00265BD0"/>
    <w:rsid w:val="00265E95"/>
    <w:rsid w:val="00266FFA"/>
    <w:rsid w:val="0027009A"/>
    <w:rsid w:val="00270DBA"/>
    <w:rsid w:val="00274E77"/>
    <w:rsid w:val="00275120"/>
    <w:rsid w:val="00275D79"/>
    <w:rsid w:val="00277B27"/>
    <w:rsid w:val="002841AC"/>
    <w:rsid w:val="00285124"/>
    <w:rsid w:val="00297160"/>
    <w:rsid w:val="00297DC4"/>
    <w:rsid w:val="002A30E9"/>
    <w:rsid w:val="002A3A5A"/>
    <w:rsid w:val="002A46D3"/>
    <w:rsid w:val="002A47F9"/>
    <w:rsid w:val="002B1779"/>
    <w:rsid w:val="002B2C68"/>
    <w:rsid w:val="002B2F7A"/>
    <w:rsid w:val="002B744E"/>
    <w:rsid w:val="002C0A5C"/>
    <w:rsid w:val="002C62A1"/>
    <w:rsid w:val="002D1B27"/>
    <w:rsid w:val="002E2CC9"/>
    <w:rsid w:val="002E3C86"/>
    <w:rsid w:val="002E4006"/>
    <w:rsid w:val="002F52AB"/>
    <w:rsid w:val="00300236"/>
    <w:rsid w:val="00304A38"/>
    <w:rsid w:val="00311793"/>
    <w:rsid w:val="00315E81"/>
    <w:rsid w:val="003176DB"/>
    <w:rsid w:val="00323E6F"/>
    <w:rsid w:val="00327CA2"/>
    <w:rsid w:val="00330565"/>
    <w:rsid w:val="003312D4"/>
    <w:rsid w:val="0033504E"/>
    <w:rsid w:val="003412BB"/>
    <w:rsid w:val="00343BCD"/>
    <w:rsid w:val="003440A4"/>
    <w:rsid w:val="003446A3"/>
    <w:rsid w:val="00344E08"/>
    <w:rsid w:val="00346C8B"/>
    <w:rsid w:val="00346F37"/>
    <w:rsid w:val="0034747A"/>
    <w:rsid w:val="00347759"/>
    <w:rsid w:val="00356F90"/>
    <w:rsid w:val="0035732B"/>
    <w:rsid w:val="00360991"/>
    <w:rsid w:val="003611C0"/>
    <w:rsid w:val="003631FC"/>
    <w:rsid w:val="00366EA6"/>
    <w:rsid w:val="00367CF8"/>
    <w:rsid w:val="00372E6F"/>
    <w:rsid w:val="00374167"/>
    <w:rsid w:val="00374ABE"/>
    <w:rsid w:val="00374CE1"/>
    <w:rsid w:val="00374D25"/>
    <w:rsid w:val="0038047C"/>
    <w:rsid w:val="00381121"/>
    <w:rsid w:val="003857D6"/>
    <w:rsid w:val="00386EDA"/>
    <w:rsid w:val="00394191"/>
    <w:rsid w:val="0039557F"/>
    <w:rsid w:val="003A2163"/>
    <w:rsid w:val="003A3CFA"/>
    <w:rsid w:val="003A578A"/>
    <w:rsid w:val="003A61FC"/>
    <w:rsid w:val="003B10F1"/>
    <w:rsid w:val="003B1E7E"/>
    <w:rsid w:val="003B516D"/>
    <w:rsid w:val="003C239C"/>
    <w:rsid w:val="003C3F58"/>
    <w:rsid w:val="003D084A"/>
    <w:rsid w:val="003E5112"/>
    <w:rsid w:val="003E5BA4"/>
    <w:rsid w:val="003F068A"/>
    <w:rsid w:val="003F1CCB"/>
    <w:rsid w:val="00402581"/>
    <w:rsid w:val="00402E5D"/>
    <w:rsid w:val="0040773B"/>
    <w:rsid w:val="00411589"/>
    <w:rsid w:val="004123F5"/>
    <w:rsid w:val="004161F1"/>
    <w:rsid w:val="00420E4F"/>
    <w:rsid w:val="00424DC1"/>
    <w:rsid w:val="00425DDA"/>
    <w:rsid w:val="00427062"/>
    <w:rsid w:val="00437587"/>
    <w:rsid w:val="00440D53"/>
    <w:rsid w:val="004454A2"/>
    <w:rsid w:val="00446EFC"/>
    <w:rsid w:val="00451D5D"/>
    <w:rsid w:val="00457F9F"/>
    <w:rsid w:val="00462720"/>
    <w:rsid w:val="004630BC"/>
    <w:rsid w:val="00466E32"/>
    <w:rsid w:val="00467F61"/>
    <w:rsid w:val="00474019"/>
    <w:rsid w:val="0047485C"/>
    <w:rsid w:val="00475BFC"/>
    <w:rsid w:val="00477103"/>
    <w:rsid w:val="00477A92"/>
    <w:rsid w:val="00485FCD"/>
    <w:rsid w:val="00490007"/>
    <w:rsid w:val="00491E1D"/>
    <w:rsid w:val="0049723B"/>
    <w:rsid w:val="004A1861"/>
    <w:rsid w:val="004A566B"/>
    <w:rsid w:val="004A7237"/>
    <w:rsid w:val="004A7F6E"/>
    <w:rsid w:val="004B4F01"/>
    <w:rsid w:val="004C1133"/>
    <w:rsid w:val="004C1E18"/>
    <w:rsid w:val="004C43B9"/>
    <w:rsid w:val="004D1918"/>
    <w:rsid w:val="004D4076"/>
    <w:rsid w:val="004D4520"/>
    <w:rsid w:val="004D47DE"/>
    <w:rsid w:val="004E0C06"/>
    <w:rsid w:val="004E1549"/>
    <w:rsid w:val="004E7C35"/>
    <w:rsid w:val="004F3F4D"/>
    <w:rsid w:val="004F603C"/>
    <w:rsid w:val="004F6832"/>
    <w:rsid w:val="005028EC"/>
    <w:rsid w:val="00502CE9"/>
    <w:rsid w:val="005038CB"/>
    <w:rsid w:val="00504FD0"/>
    <w:rsid w:val="0050798B"/>
    <w:rsid w:val="005141A7"/>
    <w:rsid w:val="00514B51"/>
    <w:rsid w:val="00515661"/>
    <w:rsid w:val="005159E6"/>
    <w:rsid w:val="0052707C"/>
    <w:rsid w:val="00527BDE"/>
    <w:rsid w:val="00530EEE"/>
    <w:rsid w:val="0053102F"/>
    <w:rsid w:val="00531474"/>
    <w:rsid w:val="0053181D"/>
    <w:rsid w:val="00532AE4"/>
    <w:rsid w:val="005356B9"/>
    <w:rsid w:val="00535977"/>
    <w:rsid w:val="00540C6E"/>
    <w:rsid w:val="00544BC4"/>
    <w:rsid w:val="00556640"/>
    <w:rsid w:val="00557D40"/>
    <w:rsid w:val="005623E6"/>
    <w:rsid w:val="00562ACC"/>
    <w:rsid w:val="00563A68"/>
    <w:rsid w:val="00563A7F"/>
    <w:rsid w:val="00564077"/>
    <w:rsid w:val="005661BC"/>
    <w:rsid w:val="00572FD2"/>
    <w:rsid w:val="005731B9"/>
    <w:rsid w:val="0057330E"/>
    <w:rsid w:val="00573DC5"/>
    <w:rsid w:val="0057485F"/>
    <w:rsid w:val="00584019"/>
    <w:rsid w:val="00584295"/>
    <w:rsid w:val="005851CA"/>
    <w:rsid w:val="00585C45"/>
    <w:rsid w:val="00593146"/>
    <w:rsid w:val="0059570E"/>
    <w:rsid w:val="005957D1"/>
    <w:rsid w:val="00595C6A"/>
    <w:rsid w:val="005A033E"/>
    <w:rsid w:val="005A1A95"/>
    <w:rsid w:val="005A1EF6"/>
    <w:rsid w:val="005A5767"/>
    <w:rsid w:val="005A5C75"/>
    <w:rsid w:val="005B5ABA"/>
    <w:rsid w:val="005B7322"/>
    <w:rsid w:val="005C5006"/>
    <w:rsid w:val="005C6C5D"/>
    <w:rsid w:val="005C6FEF"/>
    <w:rsid w:val="005C7DDE"/>
    <w:rsid w:val="005D3DE5"/>
    <w:rsid w:val="005D60CE"/>
    <w:rsid w:val="005E7FCB"/>
    <w:rsid w:val="005F20AA"/>
    <w:rsid w:val="005F22F5"/>
    <w:rsid w:val="005F558B"/>
    <w:rsid w:val="005F7605"/>
    <w:rsid w:val="00601338"/>
    <w:rsid w:val="00601D1A"/>
    <w:rsid w:val="00603BC4"/>
    <w:rsid w:val="00606241"/>
    <w:rsid w:val="00606EE4"/>
    <w:rsid w:val="0061054E"/>
    <w:rsid w:val="00611613"/>
    <w:rsid w:val="00614B87"/>
    <w:rsid w:val="00615898"/>
    <w:rsid w:val="00624441"/>
    <w:rsid w:val="00626461"/>
    <w:rsid w:val="006269C4"/>
    <w:rsid w:val="00632A81"/>
    <w:rsid w:val="0063584E"/>
    <w:rsid w:val="006366E0"/>
    <w:rsid w:val="0064475F"/>
    <w:rsid w:val="00646153"/>
    <w:rsid w:val="006550D7"/>
    <w:rsid w:val="006550EA"/>
    <w:rsid w:val="00660C5E"/>
    <w:rsid w:val="00681BAF"/>
    <w:rsid w:val="006870AC"/>
    <w:rsid w:val="00690122"/>
    <w:rsid w:val="0069533D"/>
    <w:rsid w:val="006977CF"/>
    <w:rsid w:val="006A2F38"/>
    <w:rsid w:val="006B5BB0"/>
    <w:rsid w:val="006C070F"/>
    <w:rsid w:val="006C1FC9"/>
    <w:rsid w:val="006C35FB"/>
    <w:rsid w:val="006C4286"/>
    <w:rsid w:val="006C4DE2"/>
    <w:rsid w:val="006C6040"/>
    <w:rsid w:val="006D2BC1"/>
    <w:rsid w:val="006D76F9"/>
    <w:rsid w:val="006E3DAC"/>
    <w:rsid w:val="006E553B"/>
    <w:rsid w:val="006E5B34"/>
    <w:rsid w:val="006F5AA5"/>
    <w:rsid w:val="006F5FFF"/>
    <w:rsid w:val="007065C5"/>
    <w:rsid w:val="00710D9D"/>
    <w:rsid w:val="007226A9"/>
    <w:rsid w:val="00724E29"/>
    <w:rsid w:val="00724EF3"/>
    <w:rsid w:val="00734FC4"/>
    <w:rsid w:val="00741236"/>
    <w:rsid w:val="00741356"/>
    <w:rsid w:val="00743CA5"/>
    <w:rsid w:val="0074455A"/>
    <w:rsid w:val="00746FED"/>
    <w:rsid w:val="00747986"/>
    <w:rsid w:val="00755DC2"/>
    <w:rsid w:val="00777040"/>
    <w:rsid w:val="00781610"/>
    <w:rsid w:val="00782FD3"/>
    <w:rsid w:val="00783965"/>
    <w:rsid w:val="00785030"/>
    <w:rsid w:val="00787F97"/>
    <w:rsid w:val="007B21C7"/>
    <w:rsid w:val="007B7169"/>
    <w:rsid w:val="007C2073"/>
    <w:rsid w:val="007C45CE"/>
    <w:rsid w:val="007C6F64"/>
    <w:rsid w:val="007C7824"/>
    <w:rsid w:val="007D2DC3"/>
    <w:rsid w:val="007D3550"/>
    <w:rsid w:val="007D4674"/>
    <w:rsid w:val="007D53C2"/>
    <w:rsid w:val="007E52ED"/>
    <w:rsid w:val="007E61E3"/>
    <w:rsid w:val="007F23AC"/>
    <w:rsid w:val="007F326F"/>
    <w:rsid w:val="00800C41"/>
    <w:rsid w:val="00802089"/>
    <w:rsid w:val="00804B5A"/>
    <w:rsid w:val="00806FFB"/>
    <w:rsid w:val="00810089"/>
    <w:rsid w:val="008112A2"/>
    <w:rsid w:val="0081560D"/>
    <w:rsid w:val="00817BA6"/>
    <w:rsid w:val="008204C4"/>
    <w:rsid w:val="008229FE"/>
    <w:rsid w:val="0082487B"/>
    <w:rsid w:val="0083279D"/>
    <w:rsid w:val="00841D01"/>
    <w:rsid w:val="00847877"/>
    <w:rsid w:val="008478AD"/>
    <w:rsid w:val="00855504"/>
    <w:rsid w:val="008557F5"/>
    <w:rsid w:val="0085632E"/>
    <w:rsid w:val="00862A37"/>
    <w:rsid w:val="0086617F"/>
    <w:rsid w:val="00874877"/>
    <w:rsid w:val="0087668E"/>
    <w:rsid w:val="00891C6A"/>
    <w:rsid w:val="008A5501"/>
    <w:rsid w:val="008A7BF0"/>
    <w:rsid w:val="008B106A"/>
    <w:rsid w:val="008B3481"/>
    <w:rsid w:val="008B3BA9"/>
    <w:rsid w:val="008B6309"/>
    <w:rsid w:val="008C4331"/>
    <w:rsid w:val="008C6153"/>
    <w:rsid w:val="008C64FF"/>
    <w:rsid w:val="008D1C62"/>
    <w:rsid w:val="008D3DFA"/>
    <w:rsid w:val="008E6AF9"/>
    <w:rsid w:val="008E7176"/>
    <w:rsid w:val="008F1C7C"/>
    <w:rsid w:val="008F2FF4"/>
    <w:rsid w:val="00904113"/>
    <w:rsid w:val="00905E94"/>
    <w:rsid w:val="00910125"/>
    <w:rsid w:val="009110E9"/>
    <w:rsid w:val="00920002"/>
    <w:rsid w:val="00920804"/>
    <w:rsid w:val="00922375"/>
    <w:rsid w:val="0092247E"/>
    <w:rsid w:val="009337D7"/>
    <w:rsid w:val="009406AB"/>
    <w:rsid w:val="00945837"/>
    <w:rsid w:val="00953B45"/>
    <w:rsid w:val="00953DA0"/>
    <w:rsid w:val="00954F7A"/>
    <w:rsid w:val="00957075"/>
    <w:rsid w:val="0096423A"/>
    <w:rsid w:val="00966619"/>
    <w:rsid w:val="009772C9"/>
    <w:rsid w:val="0098312D"/>
    <w:rsid w:val="0098396C"/>
    <w:rsid w:val="0098509D"/>
    <w:rsid w:val="00986AB1"/>
    <w:rsid w:val="00992F0E"/>
    <w:rsid w:val="009932E5"/>
    <w:rsid w:val="0099520D"/>
    <w:rsid w:val="009A2335"/>
    <w:rsid w:val="009A2DBC"/>
    <w:rsid w:val="009A4364"/>
    <w:rsid w:val="009B014F"/>
    <w:rsid w:val="009B2D08"/>
    <w:rsid w:val="009B30C3"/>
    <w:rsid w:val="009B57CB"/>
    <w:rsid w:val="009B6198"/>
    <w:rsid w:val="009B6480"/>
    <w:rsid w:val="009B6F32"/>
    <w:rsid w:val="009B72A2"/>
    <w:rsid w:val="009C0EFE"/>
    <w:rsid w:val="009C4759"/>
    <w:rsid w:val="009C7BAD"/>
    <w:rsid w:val="009D2BE0"/>
    <w:rsid w:val="009D32E6"/>
    <w:rsid w:val="009D676B"/>
    <w:rsid w:val="009E21B5"/>
    <w:rsid w:val="009F0142"/>
    <w:rsid w:val="009F1C0D"/>
    <w:rsid w:val="009F576B"/>
    <w:rsid w:val="00A05EC3"/>
    <w:rsid w:val="00A100B8"/>
    <w:rsid w:val="00A14FF4"/>
    <w:rsid w:val="00A16F76"/>
    <w:rsid w:val="00A24BE3"/>
    <w:rsid w:val="00A429FE"/>
    <w:rsid w:val="00A5005C"/>
    <w:rsid w:val="00A51FAE"/>
    <w:rsid w:val="00A54D62"/>
    <w:rsid w:val="00A54FA1"/>
    <w:rsid w:val="00A56A1B"/>
    <w:rsid w:val="00A57961"/>
    <w:rsid w:val="00A60C45"/>
    <w:rsid w:val="00A64592"/>
    <w:rsid w:val="00A658EA"/>
    <w:rsid w:val="00A66AC5"/>
    <w:rsid w:val="00A67B90"/>
    <w:rsid w:val="00A708FE"/>
    <w:rsid w:val="00A70C82"/>
    <w:rsid w:val="00A70ED2"/>
    <w:rsid w:val="00A760D9"/>
    <w:rsid w:val="00A80DC3"/>
    <w:rsid w:val="00A87294"/>
    <w:rsid w:val="00A915C0"/>
    <w:rsid w:val="00A92BC9"/>
    <w:rsid w:val="00AB5E1A"/>
    <w:rsid w:val="00AB5E22"/>
    <w:rsid w:val="00AC17E5"/>
    <w:rsid w:val="00AC49B6"/>
    <w:rsid w:val="00AD1CF1"/>
    <w:rsid w:val="00AD28B9"/>
    <w:rsid w:val="00AD41D2"/>
    <w:rsid w:val="00AE0DFC"/>
    <w:rsid w:val="00AE3216"/>
    <w:rsid w:val="00AE59AA"/>
    <w:rsid w:val="00AF2F82"/>
    <w:rsid w:val="00AF4318"/>
    <w:rsid w:val="00AF45F4"/>
    <w:rsid w:val="00AF571D"/>
    <w:rsid w:val="00AF75F1"/>
    <w:rsid w:val="00AF7EB7"/>
    <w:rsid w:val="00B00484"/>
    <w:rsid w:val="00B01223"/>
    <w:rsid w:val="00B03BFC"/>
    <w:rsid w:val="00B063CA"/>
    <w:rsid w:val="00B119E3"/>
    <w:rsid w:val="00B147E8"/>
    <w:rsid w:val="00B20F38"/>
    <w:rsid w:val="00B304A9"/>
    <w:rsid w:val="00B32939"/>
    <w:rsid w:val="00B43225"/>
    <w:rsid w:val="00B54EC4"/>
    <w:rsid w:val="00B55BDD"/>
    <w:rsid w:val="00B56538"/>
    <w:rsid w:val="00B56A12"/>
    <w:rsid w:val="00B56DC4"/>
    <w:rsid w:val="00B579A7"/>
    <w:rsid w:val="00B60784"/>
    <w:rsid w:val="00B61DEE"/>
    <w:rsid w:val="00B63312"/>
    <w:rsid w:val="00B65890"/>
    <w:rsid w:val="00B70BF6"/>
    <w:rsid w:val="00B745BC"/>
    <w:rsid w:val="00B77C8B"/>
    <w:rsid w:val="00B820A5"/>
    <w:rsid w:val="00B82906"/>
    <w:rsid w:val="00B841AF"/>
    <w:rsid w:val="00B846E0"/>
    <w:rsid w:val="00B85819"/>
    <w:rsid w:val="00B87D83"/>
    <w:rsid w:val="00B87DF1"/>
    <w:rsid w:val="00B9194D"/>
    <w:rsid w:val="00B9508B"/>
    <w:rsid w:val="00B97794"/>
    <w:rsid w:val="00B97E56"/>
    <w:rsid w:val="00BB7F35"/>
    <w:rsid w:val="00BC1EC7"/>
    <w:rsid w:val="00BC231C"/>
    <w:rsid w:val="00BC760A"/>
    <w:rsid w:val="00BD0883"/>
    <w:rsid w:val="00BD3EE5"/>
    <w:rsid w:val="00BD4078"/>
    <w:rsid w:val="00BD5051"/>
    <w:rsid w:val="00BD53B5"/>
    <w:rsid w:val="00BE641A"/>
    <w:rsid w:val="00C00089"/>
    <w:rsid w:val="00C01794"/>
    <w:rsid w:val="00C07A8B"/>
    <w:rsid w:val="00C124EF"/>
    <w:rsid w:val="00C30C7B"/>
    <w:rsid w:val="00C3733B"/>
    <w:rsid w:val="00C444D8"/>
    <w:rsid w:val="00C50779"/>
    <w:rsid w:val="00C61CF1"/>
    <w:rsid w:val="00C62F60"/>
    <w:rsid w:val="00C73BC2"/>
    <w:rsid w:val="00C73D52"/>
    <w:rsid w:val="00C85BF7"/>
    <w:rsid w:val="00C85FA8"/>
    <w:rsid w:val="00C923CA"/>
    <w:rsid w:val="00C93B52"/>
    <w:rsid w:val="00C95921"/>
    <w:rsid w:val="00CA06E8"/>
    <w:rsid w:val="00CA344E"/>
    <w:rsid w:val="00CA4CEB"/>
    <w:rsid w:val="00CB1C0C"/>
    <w:rsid w:val="00CB4F7F"/>
    <w:rsid w:val="00CB59E3"/>
    <w:rsid w:val="00CC0F49"/>
    <w:rsid w:val="00CC6364"/>
    <w:rsid w:val="00CC7769"/>
    <w:rsid w:val="00CD2CE2"/>
    <w:rsid w:val="00CD4852"/>
    <w:rsid w:val="00CE0E65"/>
    <w:rsid w:val="00CE1ACD"/>
    <w:rsid w:val="00CE59D8"/>
    <w:rsid w:val="00CF0342"/>
    <w:rsid w:val="00CF2376"/>
    <w:rsid w:val="00D003F8"/>
    <w:rsid w:val="00D00CF5"/>
    <w:rsid w:val="00D01FFB"/>
    <w:rsid w:val="00D070AE"/>
    <w:rsid w:val="00D074F2"/>
    <w:rsid w:val="00D16679"/>
    <w:rsid w:val="00D17AD6"/>
    <w:rsid w:val="00D241AC"/>
    <w:rsid w:val="00D245E2"/>
    <w:rsid w:val="00D25937"/>
    <w:rsid w:val="00D300FB"/>
    <w:rsid w:val="00D32D04"/>
    <w:rsid w:val="00D335B3"/>
    <w:rsid w:val="00D42B7D"/>
    <w:rsid w:val="00D503B9"/>
    <w:rsid w:val="00D50499"/>
    <w:rsid w:val="00D53B82"/>
    <w:rsid w:val="00D55104"/>
    <w:rsid w:val="00D615EC"/>
    <w:rsid w:val="00D62B06"/>
    <w:rsid w:val="00D65734"/>
    <w:rsid w:val="00D66EA9"/>
    <w:rsid w:val="00D716E0"/>
    <w:rsid w:val="00D71D40"/>
    <w:rsid w:val="00D76B41"/>
    <w:rsid w:val="00D7756C"/>
    <w:rsid w:val="00D8016B"/>
    <w:rsid w:val="00D82CA5"/>
    <w:rsid w:val="00D90483"/>
    <w:rsid w:val="00D90C9E"/>
    <w:rsid w:val="00D92877"/>
    <w:rsid w:val="00D9435A"/>
    <w:rsid w:val="00D95512"/>
    <w:rsid w:val="00D9726C"/>
    <w:rsid w:val="00D97484"/>
    <w:rsid w:val="00DA45B7"/>
    <w:rsid w:val="00DA4E7D"/>
    <w:rsid w:val="00DA5A54"/>
    <w:rsid w:val="00DB1DEB"/>
    <w:rsid w:val="00DC4452"/>
    <w:rsid w:val="00DC62C6"/>
    <w:rsid w:val="00DD114E"/>
    <w:rsid w:val="00DD3094"/>
    <w:rsid w:val="00DD5A31"/>
    <w:rsid w:val="00DD5F4F"/>
    <w:rsid w:val="00DD61AD"/>
    <w:rsid w:val="00DE2408"/>
    <w:rsid w:val="00DE50C7"/>
    <w:rsid w:val="00DE5DDC"/>
    <w:rsid w:val="00DE6408"/>
    <w:rsid w:val="00DF0B7D"/>
    <w:rsid w:val="00DF1F4D"/>
    <w:rsid w:val="00E00269"/>
    <w:rsid w:val="00E03946"/>
    <w:rsid w:val="00E051BE"/>
    <w:rsid w:val="00E120F9"/>
    <w:rsid w:val="00E1377C"/>
    <w:rsid w:val="00E160D8"/>
    <w:rsid w:val="00E16A76"/>
    <w:rsid w:val="00E20C1F"/>
    <w:rsid w:val="00E20EDF"/>
    <w:rsid w:val="00E25A1D"/>
    <w:rsid w:val="00E27D5E"/>
    <w:rsid w:val="00E3039A"/>
    <w:rsid w:val="00E325CD"/>
    <w:rsid w:val="00E329AE"/>
    <w:rsid w:val="00E35499"/>
    <w:rsid w:val="00E36BFB"/>
    <w:rsid w:val="00E40970"/>
    <w:rsid w:val="00E46AD9"/>
    <w:rsid w:val="00E46B80"/>
    <w:rsid w:val="00E46E37"/>
    <w:rsid w:val="00E46E95"/>
    <w:rsid w:val="00E504B2"/>
    <w:rsid w:val="00E5383C"/>
    <w:rsid w:val="00E57B22"/>
    <w:rsid w:val="00E6687B"/>
    <w:rsid w:val="00E67FF9"/>
    <w:rsid w:val="00E7129F"/>
    <w:rsid w:val="00E72E7F"/>
    <w:rsid w:val="00E756E7"/>
    <w:rsid w:val="00E77D96"/>
    <w:rsid w:val="00E874B9"/>
    <w:rsid w:val="00E87B48"/>
    <w:rsid w:val="00E909AB"/>
    <w:rsid w:val="00E94BD9"/>
    <w:rsid w:val="00E97A69"/>
    <w:rsid w:val="00EA1C66"/>
    <w:rsid w:val="00EC0C31"/>
    <w:rsid w:val="00EC52C8"/>
    <w:rsid w:val="00ED22CB"/>
    <w:rsid w:val="00ED4EEF"/>
    <w:rsid w:val="00EE05F3"/>
    <w:rsid w:val="00EE4A53"/>
    <w:rsid w:val="00F020CA"/>
    <w:rsid w:val="00F023D0"/>
    <w:rsid w:val="00F03965"/>
    <w:rsid w:val="00F039DE"/>
    <w:rsid w:val="00F03E65"/>
    <w:rsid w:val="00F048A2"/>
    <w:rsid w:val="00F1188E"/>
    <w:rsid w:val="00F11918"/>
    <w:rsid w:val="00F11E19"/>
    <w:rsid w:val="00F13F4B"/>
    <w:rsid w:val="00F1708B"/>
    <w:rsid w:val="00F22FC8"/>
    <w:rsid w:val="00F246D2"/>
    <w:rsid w:val="00F257A0"/>
    <w:rsid w:val="00F2603B"/>
    <w:rsid w:val="00F3073C"/>
    <w:rsid w:val="00F31AA9"/>
    <w:rsid w:val="00F33522"/>
    <w:rsid w:val="00F4093A"/>
    <w:rsid w:val="00F44C47"/>
    <w:rsid w:val="00F50DFB"/>
    <w:rsid w:val="00F51811"/>
    <w:rsid w:val="00F5603C"/>
    <w:rsid w:val="00F5670D"/>
    <w:rsid w:val="00F6367C"/>
    <w:rsid w:val="00F644EB"/>
    <w:rsid w:val="00F67BFF"/>
    <w:rsid w:val="00F73E27"/>
    <w:rsid w:val="00F80E3E"/>
    <w:rsid w:val="00F81D5E"/>
    <w:rsid w:val="00F8734C"/>
    <w:rsid w:val="00F91689"/>
    <w:rsid w:val="00F934AC"/>
    <w:rsid w:val="00F96ECB"/>
    <w:rsid w:val="00FA2133"/>
    <w:rsid w:val="00FA2C77"/>
    <w:rsid w:val="00FA4AC3"/>
    <w:rsid w:val="00FA719A"/>
    <w:rsid w:val="00FA79C7"/>
    <w:rsid w:val="00FB1B1B"/>
    <w:rsid w:val="00FB20DF"/>
    <w:rsid w:val="00FB449A"/>
    <w:rsid w:val="00FB51EC"/>
    <w:rsid w:val="00FB5E94"/>
    <w:rsid w:val="00FB7A2F"/>
    <w:rsid w:val="00FC42FA"/>
    <w:rsid w:val="00FC44F7"/>
    <w:rsid w:val="00FD13AD"/>
    <w:rsid w:val="00FD23C7"/>
    <w:rsid w:val="00FD768B"/>
    <w:rsid w:val="00FF3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5C195F"/>
  <w15:docId w15:val="{2618D9D9-A330-4434-8B08-C454DA3B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color w:val="000066"/>
      <w:sz w:val="32"/>
    </w:rPr>
  </w:style>
  <w:style w:type="paragraph" w:styleId="berschrift2">
    <w:name w:val="heading 2"/>
    <w:basedOn w:val="berschrift3"/>
    <w:next w:val="Standard"/>
    <w:link w:val="berschrift2Zchn"/>
    <w:rsid w:val="00D335B3"/>
    <w:pPr>
      <w:numPr>
        <w:ilvl w:val="1"/>
      </w:numPr>
      <w:outlineLvl w:val="1"/>
    </w:pPr>
    <w:rPr>
      <w:color w:val="000066"/>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color w:val="000000"/>
      <w:sz w:val="20"/>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color w:val="000066"/>
      <w:sz w:val="20"/>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color w:val="000066"/>
      <w:sz w:val="32"/>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position w:val="2"/>
      <w:sz w:val="24"/>
    </w:rPr>
  </w:style>
  <w:style w:type="character" w:customStyle="1" w:styleId="SectionHeaderChar">
    <w:name w:val="Section Header Char"/>
    <w:basedOn w:val="Absatz-Standardschriftart"/>
    <w:link w:val="SectionHeader"/>
    <w:rsid w:val="004D4520"/>
    <w:rPr>
      <w:rFonts w:eastAsia="PMingLiU" w:cstheme="minorHAnsi"/>
      <w:b/>
      <w:color w:val="000000" w:themeColor="text1"/>
      <w:position w:val="2"/>
      <w:sz w:val="24"/>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sz w:val="16"/>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rPr>
  </w:style>
  <w:style w:type="paragraph" w:customStyle="1" w:styleId="Tabellenberschrift">
    <w:name w:val="Tabellenüberschrift"/>
    <w:basedOn w:val="Standard"/>
    <w:rsid w:val="008A7BF0"/>
    <w:pPr>
      <w:spacing w:line="250" w:lineRule="atLeast"/>
    </w:pPr>
    <w:rPr>
      <w:rFonts w:ascii="Typiqal Mono Medium" w:hAnsi="Typiqal Mono Medium"/>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z w:val="14"/>
    </w:rPr>
  </w:style>
  <w:style w:type="paragraph" w:customStyle="1" w:styleId="Funktionstitel">
    <w:name w:val="Funktionstitel"/>
    <w:basedOn w:val="Standard"/>
    <w:rsid w:val="00CE1ACD"/>
    <w:pPr>
      <w:spacing w:line="200" w:lineRule="atLeast"/>
      <w:ind w:left="6"/>
    </w:pPr>
    <w:rPr>
      <w:color w:val="00A0F5" w:themeColor="accent1"/>
      <w:sz w:val="14"/>
    </w:rPr>
  </w:style>
  <w:style w:type="paragraph" w:customStyle="1" w:styleId="Datumsangabe">
    <w:name w:val="Datumsangabe"/>
    <w:basedOn w:val="Funktionstitel"/>
    <w:qFormat/>
    <w:rsid w:val="00A70ED2"/>
    <w:rPr>
      <w:color w:val="000000" w:themeColor="text1"/>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kern w:val="28"/>
      <w:sz w:val="28"/>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kern w:val="28"/>
      <w:sz w:val="28"/>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rPr>
  </w:style>
  <w:style w:type="paragraph" w:styleId="NurText">
    <w:name w:val="Plain Text"/>
    <w:basedOn w:val="Standard"/>
    <w:link w:val="NurTextZchn"/>
    <w:uiPriority w:val="99"/>
    <w:unhideWhenUsed/>
    <w:rsid w:val="00285124"/>
    <w:pPr>
      <w:spacing w:line="240" w:lineRule="auto"/>
    </w:pPr>
    <w:rPr>
      <w:rFonts w:ascii="Arial" w:hAnsi="Arial"/>
      <w:color w:val="auto"/>
    </w:rPr>
  </w:style>
  <w:style w:type="character" w:customStyle="1" w:styleId="NurTextZchn">
    <w:name w:val="Nur Text Zchn"/>
    <w:basedOn w:val="Absatz-Standardschriftart"/>
    <w:link w:val="NurText"/>
    <w:uiPriority w:val="99"/>
    <w:rsid w:val="00285124"/>
    <w:rPr>
      <w:rFonts w:ascii="Arial" w:hAnsi="Arial"/>
      <w:sz w:val="20"/>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rPr>
  </w:style>
  <w:style w:type="paragraph" w:customStyle="1" w:styleId="xmsonormal">
    <w:name w:val="x_msonormal"/>
    <w:basedOn w:val="Standard"/>
    <w:rsid w:val="00747986"/>
    <w:pPr>
      <w:spacing w:line="240" w:lineRule="auto"/>
    </w:pPr>
    <w:rPr>
      <w:rFonts w:ascii="Calibri" w:hAnsi="Calibri" w:cs="Calibri"/>
      <w:color w:val="auto"/>
      <w:sz w:val="22"/>
    </w:rPr>
  </w:style>
  <w:style w:type="character" w:styleId="NichtaufgelsteErwhnung">
    <w:name w:val="Unresolved Mention"/>
    <w:basedOn w:val="Absatz-Standardschriftart"/>
    <w:uiPriority w:val="99"/>
    <w:semiHidden/>
    <w:unhideWhenUsed/>
    <w:rsid w:val="0098509D"/>
    <w:rPr>
      <w:color w:val="605E5C"/>
      <w:shd w:val="clear" w:color="auto" w:fill="E1DFDD"/>
    </w:rPr>
  </w:style>
  <w:style w:type="paragraph" w:styleId="berarbeitung">
    <w:name w:val="Revision"/>
    <w:hidden/>
    <w:uiPriority w:val="99"/>
    <w:semiHidden/>
    <w:rsid w:val="00036E1E"/>
    <w:pPr>
      <w:spacing w:after="0" w:line="240" w:lineRule="auto"/>
    </w:pPr>
    <w:rPr>
      <w:color w:val="000000" w:themeColor="text1"/>
      <w:sz w:val="20"/>
    </w:rPr>
  </w:style>
  <w:style w:type="character" w:styleId="Kommentarzeichen">
    <w:name w:val="annotation reference"/>
    <w:basedOn w:val="Absatz-Standardschriftart"/>
    <w:uiPriority w:val="99"/>
    <w:semiHidden/>
    <w:unhideWhenUsed/>
    <w:rsid w:val="00036E1E"/>
    <w:rPr>
      <w:sz w:val="16"/>
    </w:rPr>
  </w:style>
  <w:style w:type="paragraph" w:styleId="Kommentartext">
    <w:name w:val="annotation text"/>
    <w:basedOn w:val="Standard"/>
    <w:link w:val="KommentartextZchn"/>
    <w:uiPriority w:val="99"/>
    <w:unhideWhenUsed/>
    <w:rsid w:val="00036E1E"/>
    <w:pPr>
      <w:spacing w:line="240" w:lineRule="auto"/>
    </w:pPr>
  </w:style>
  <w:style w:type="character" w:customStyle="1" w:styleId="KommentartextZchn">
    <w:name w:val="Kommentartext Zchn"/>
    <w:basedOn w:val="Absatz-Standardschriftart"/>
    <w:link w:val="Kommentartext"/>
    <w:uiPriority w:val="99"/>
    <w:rsid w:val="00036E1E"/>
    <w:rPr>
      <w:color w:val="000000" w:themeColor="text1"/>
      <w:sz w:val="20"/>
    </w:rPr>
  </w:style>
  <w:style w:type="paragraph" w:styleId="Kommentarthema">
    <w:name w:val="annotation subject"/>
    <w:basedOn w:val="Kommentartext"/>
    <w:next w:val="Kommentartext"/>
    <w:link w:val="KommentarthemaZchn"/>
    <w:uiPriority w:val="99"/>
    <w:semiHidden/>
    <w:unhideWhenUsed/>
    <w:rsid w:val="00036E1E"/>
    <w:rPr>
      <w:b/>
    </w:rPr>
  </w:style>
  <w:style w:type="character" w:customStyle="1" w:styleId="KommentarthemaZchn">
    <w:name w:val="Kommentarthema Zchn"/>
    <w:basedOn w:val="KommentartextZchn"/>
    <w:link w:val="Kommentarthema"/>
    <w:uiPriority w:val="99"/>
    <w:semiHidden/>
    <w:rsid w:val="00036E1E"/>
    <w:rPr>
      <w:b/>
      <w:color w:val="000000" w:themeColor="text1"/>
      <w:sz w:val="20"/>
    </w:rPr>
  </w:style>
  <w:style w:type="paragraph" w:customStyle="1" w:styleId="P68B1DB1-StandardWeb11">
    <w:name w:val="P68B1DB1-StandardWeb11"/>
    <w:basedOn w:val="StandardWeb1"/>
    <w:rPr>
      <w:rFonts w:ascii="TKTypeRegular" w:hAnsi="TKTypeRegular"/>
      <w:b/>
      <w:sz w:val="20"/>
    </w:rPr>
  </w:style>
  <w:style w:type="paragraph" w:customStyle="1" w:styleId="P68B1DB1-xmsonormal2">
    <w:name w:val="P68B1DB1-xmsonormal2"/>
    <w:basedOn w:val="xmsonormal"/>
    <w:rPr>
      <w:rFonts w:asciiTheme="minorHAnsi" w:hAnsiTheme="minorHAnsi" w:cstheme="minorHAnsi"/>
      <w:color w:val="000000" w:themeColor="text1"/>
      <w:sz w:val="20"/>
    </w:rPr>
  </w:style>
  <w:style w:type="paragraph" w:customStyle="1" w:styleId="P68B1DB1-Listenabsatz3">
    <w:name w:val="P68B1DB1-Listenabsatz3"/>
    <w:basedOn w:val="Listenabsatz"/>
    <w:rPr>
      <w:rFonts w:cstheme="minorHAnsi"/>
    </w:rPr>
  </w:style>
  <w:style w:type="paragraph" w:customStyle="1" w:styleId="P68B1DB1-Standard4">
    <w:name w:val="P68B1DB1-Standard4"/>
    <w:basedOn w:val="Standard"/>
    <w:rPr>
      <w:rFonts w:cstheme="minorHAnsi"/>
    </w:rPr>
  </w:style>
  <w:style w:type="paragraph" w:customStyle="1" w:styleId="P68B1DB1-Standard5">
    <w:name w:val="P68B1DB1-Standard5"/>
    <w:basedOn w:val="Standard"/>
    <w:rPr>
      <w:b/>
      <w:color w:val="auto"/>
    </w:rPr>
  </w:style>
  <w:style w:type="paragraph" w:customStyle="1" w:styleId="P68B1DB1-Standard6">
    <w:name w:val="P68B1DB1-Standard6"/>
    <w:basedOn w:val="Standard"/>
    <w:rPr>
      <w:color w:val="auto"/>
    </w:rPr>
  </w:style>
  <w:style w:type="paragraph" w:customStyle="1" w:styleId="P68B1DB1-Standard7">
    <w:name w:val="P68B1DB1-Standard7"/>
    <w:basedOn w:val="Standard"/>
    <w:rPr>
      <w:rFonts w:cstheme="minorHAnsi"/>
      <w:b/>
    </w:rPr>
  </w:style>
  <w:style w:type="paragraph" w:customStyle="1" w:styleId="P68B1DB1-Standard8">
    <w:name w:val="P68B1DB1-Standard8"/>
    <w:basedOn w:val="Standard"/>
    <w:rPr>
      <w:rFonts w:cstheme="minorHAnsi"/>
      <w:color w:val="auto"/>
    </w:rPr>
  </w:style>
  <w:style w:type="paragraph" w:customStyle="1" w:styleId="P68B1DB1-Standard9">
    <w:name w:val="P68B1DB1-Standard9"/>
    <w:basedOn w:val="Standard"/>
    <w:rPr>
      <w:rFonts w:cstheme="minorHAnsi"/>
      <w:b/>
      <w:color w:val="auto"/>
    </w:rPr>
  </w:style>
  <w:style w:type="paragraph" w:customStyle="1" w:styleId="P68B1DB1-StandardWeb110">
    <w:name w:val="P68B1DB1-StandardWeb110"/>
    <w:basedOn w:val="StandardWeb1"/>
    <w:rPr>
      <w:rFonts w:asciiTheme="majorHAnsi" w:hAnsiTheme="majorHAnsi"/>
      <w:sz w:val="20"/>
    </w:rPr>
  </w:style>
  <w:style w:type="paragraph" w:customStyle="1" w:styleId="P68B1DB1-Standard11">
    <w:name w:val="P68B1DB1-Standard11"/>
    <w:basedOn w:val="Standard"/>
    <w:rPr>
      <w:rFonts w:asciiTheme="majorHAnsi" w:hAnsiTheme="majorHAnsi"/>
    </w:rPr>
  </w:style>
  <w:style w:type="paragraph" w:customStyle="1" w:styleId="P68B1DB1-Standard12">
    <w:name w:val="P68B1DB1-Standard12"/>
    <w:basedOn w:val="Standard"/>
    <w:rPr>
      <w:rFonts w:asciiTheme="majorHAnsi" w:hAnsi="Arial"/>
    </w:rPr>
  </w:style>
  <w:style w:type="paragraph" w:customStyle="1" w:styleId="P68B1DB1-Fuzeile13">
    <w:name w:val="P68B1DB1-Fuzeile13"/>
    <w:basedOn w:val="Fuzeile"/>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826823874">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319673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sChild>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2048599668">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9818908">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sChild>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705983036">
          <w:marLeft w:val="0"/>
          <w:marRight w:val="0"/>
          <w:marTop w:val="0"/>
          <w:marBottom w:val="0"/>
          <w:divBdr>
            <w:top w:val="none" w:sz="0" w:space="0" w:color="auto"/>
            <w:left w:val="none" w:sz="0" w:space="0" w:color="auto"/>
            <w:bottom w:val="none" w:sz="0" w:space="0" w:color="auto"/>
            <w:right w:val="none" w:sz="0" w:space="0" w:color="auto"/>
          </w:divBdr>
          <w:divsChild>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519778064">
              <w:marLeft w:val="0"/>
              <w:marRight w:val="0"/>
              <w:marTop w:val="0"/>
              <w:marBottom w:val="0"/>
              <w:divBdr>
                <w:top w:val="none" w:sz="0" w:space="0" w:color="auto"/>
                <w:left w:val="none" w:sz="0" w:space="0" w:color="auto"/>
                <w:bottom w:val="none" w:sz="0" w:space="0" w:color="auto"/>
                <w:right w:val="none" w:sz="0" w:space="0" w:color="auto"/>
              </w:divBdr>
              <w:divsChild>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1942183798">
                  <w:marLeft w:val="0"/>
                  <w:marRight w:val="0"/>
                  <w:marTop w:val="0"/>
                  <w:marBottom w:val="0"/>
                  <w:divBdr>
                    <w:top w:val="none" w:sz="0" w:space="0" w:color="auto"/>
                    <w:left w:val="none" w:sz="0" w:space="0" w:color="auto"/>
                    <w:bottom w:val="none" w:sz="0" w:space="0" w:color="auto"/>
                    <w:right w:val="none" w:sz="0" w:space="0" w:color="auto"/>
                  </w:divBdr>
                  <w:divsChild>
                    <w:div w:id="1177231757">
                      <w:marLeft w:val="0"/>
                      <w:marRight w:val="0"/>
                      <w:marTop w:val="0"/>
                      <w:marBottom w:val="0"/>
                      <w:divBdr>
                        <w:top w:val="none" w:sz="0" w:space="0" w:color="auto"/>
                        <w:left w:val="none" w:sz="0" w:space="0" w:color="auto"/>
                        <w:bottom w:val="none" w:sz="0" w:space="0" w:color="auto"/>
                        <w:right w:val="none" w:sz="0" w:space="0" w:color="auto"/>
                      </w:divBdr>
                    </w:div>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454203866">
                      <w:marLeft w:val="0"/>
                      <w:marRight w:val="0"/>
                      <w:marTop w:val="0"/>
                      <w:marBottom w:val="0"/>
                      <w:divBdr>
                        <w:top w:val="none" w:sz="0" w:space="0" w:color="auto"/>
                        <w:left w:val="none" w:sz="0" w:space="0" w:color="auto"/>
                        <w:bottom w:val="none" w:sz="0" w:space="0" w:color="auto"/>
                        <w:right w:val="none" w:sz="0" w:space="0" w:color="auto"/>
                      </w:divBdr>
                    </w:div>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9498">
          <w:marLeft w:val="0"/>
          <w:marRight w:val="0"/>
          <w:marTop w:val="0"/>
          <w:marBottom w:val="0"/>
          <w:divBdr>
            <w:top w:val="none" w:sz="0" w:space="0" w:color="auto"/>
            <w:left w:val="none" w:sz="0" w:space="0" w:color="auto"/>
            <w:bottom w:val="none" w:sz="0" w:space="0" w:color="auto"/>
            <w:right w:val="none" w:sz="0" w:space="0" w:color="auto"/>
          </w:divBdr>
          <w:divsChild>
            <w:div w:id="1033387256">
              <w:marLeft w:val="0"/>
              <w:marRight w:val="0"/>
              <w:marTop w:val="0"/>
              <w:marBottom w:val="0"/>
              <w:divBdr>
                <w:top w:val="none" w:sz="0" w:space="0" w:color="auto"/>
                <w:left w:val="none" w:sz="0" w:space="0" w:color="auto"/>
                <w:bottom w:val="none" w:sz="0" w:space="0" w:color="auto"/>
                <w:right w:val="none" w:sz="0" w:space="0" w:color="auto"/>
              </w:divBdr>
              <w:divsChild>
                <w:div w:id="1066033140">
                  <w:marLeft w:val="0"/>
                  <w:marRight w:val="0"/>
                  <w:marTop w:val="0"/>
                  <w:marBottom w:val="0"/>
                  <w:divBdr>
                    <w:top w:val="none" w:sz="0" w:space="0" w:color="auto"/>
                    <w:left w:val="none" w:sz="0" w:space="0" w:color="auto"/>
                    <w:bottom w:val="none" w:sz="0" w:space="0" w:color="auto"/>
                    <w:right w:val="none" w:sz="0" w:space="0" w:color="auto"/>
                  </w:divBdr>
                </w:div>
                <w:div w:id="759831455">
                  <w:marLeft w:val="0"/>
                  <w:marRight w:val="0"/>
                  <w:marTop w:val="0"/>
                  <w:marBottom w:val="0"/>
                  <w:divBdr>
                    <w:top w:val="none" w:sz="0" w:space="0" w:color="auto"/>
                    <w:left w:val="none" w:sz="0" w:space="0" w:color="auto"/>
                    <w:bottom w:val="none" w:sz="0" w:space="0" w:color="auto"/>
                    <w:right w:val="none" w:sz="0" w:space="0" w:color="auto"/>
                  </w:divBdr>
                </w:div>
              </w:divsChild>
            </w:div>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264726180">
                  <w:marLeft w:val="0"/>
                  <w:marRight w:val="0"/>
                  <w:marTop w:val="0"/>
                  <w:marBottom w:val="0"/>
                  <w:divBdr>
                    <w:top w:val="none" w:sz="0" w:space="0" w:color="auto"/>
                    <w:left w:val="none" w:sz="0" w:space="0" w:color="auto"/>
                    <w:bottom w:val="none" w:sz="0" w:space="0" w:color="auto"/>
                    <w:right w:val="none" w:sz="0" w:space="0" w:color="auto"/>
                  </w:divBdr>
                </w:div>
                <w:div w:id="184515537">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166865978">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99448656">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sChild>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92461355">
          <w:marLeft w:val="0"/>
          <w:marRight w:val="0"/>
          <w:marTop w:val="0"/>
          <w:marBottom w:val="0"/>
          <w:divBdr>
            <w:top w:val="none" w:sz="0" w:space="0" w:color="auto"/>
            <w:left w:val="none" w:sz="0" w:space="0" w:color="auto"/>
            <w:bottom w:val="none" w:sz="0" w:space="0" w:color="auto"/>
            <w:right w:val="none" w:sz="0" w:space="0" w:color="auto"/>
          </w:divBdr>
        </w:div>
        <w:div w:id="620645013">
          <w:marLeft w:val="0"/>
          <w:marRight w:val="0"/>
          <w:marTop w:val="0"/>
          <w:marBottom w:val="0"/>
          <w:divBdr>
            <w:top w:val="none" w:sz="0" w:space="0" w:color="auto"/>
            <w:left w:val="none" w:sz="0" w:space="0" w:color="auto"/>
            <w:bottom w:val="none" w:sz="0" w:space="0" w:color="auto"/>
            <w:right w:val="none" w:sz="0" w:space="0" w:color="auto"/>
          </w:divBdr>
          <w:divsChild>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yssenkrupp-stee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switha.becker@thyssenkrupp.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D04C396E63CC45BF135E8CD6472756" ma:contentTypeVersion="19" ma:contentTypeDescription="Ein neues Dokument erstellen." ma:contentTypeScope="" ma:versionID="915eebd187f6d3768b65856324c30c95">
  <xsd:schema xmlns:xsd="http://www.w3.org/2001/XMLSchema" xmlns:xs="http://www.w3.org/2001/XMLSchema" xmlns:p="http://schemas.microsoft.com/office/2006/metadata/properties" xmlns:ns2="6347d797-4216-4524-9125-53d17549b971" xmlns:ns3="d0f56806-3aa1-4057-98e8-701e8ba77ed3" targetNamespace="http://schemas.microsoft.com/office/2006/metadata/properties" ma:root="true" ma:fieldsID="9f644f43d3c87bfe436a1240809b386e" ns2:_="" ns3:_="">
    <xsd:import namespace="6347d797-4216-4524-9125-53d17549b971"/>
    <xsd:import namespace="d0f56806-3aa1-4057-98e8-701e8ba77e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d797-4216-4524-9125-53d17549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b74ebe3-3351-46c6-8e2e-1de0f14e89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f56806-3aa1-4057-98e8-701e8ba77e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f7f1fd-d874-4465-b404-73388ffa6d0a}" ma:internalName="TaxCatchAll" ma:showField="CatchAllData" ma:web="d0f56806-3aa1-4057-98e8-701e8ba77ed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47d797-4216-4524-9125-53d17549b971">
      <Terms xmlns="http://schemas.microsoft.com/office/infopath/2007/PartnerControls"/>
    </lcf76f155ced4ddcb4097134ff3c332f>
    <TaxCatchAll xmlns="d0f56806-3aa1-4057-98e8-701e8ba77ed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D2F3A8-4FE5-4B38-92B4-5EF32E211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d797-4216-4524-9125-53d17549b971"/>
    <ds:schemaRef ds:uri="d0f56806-3aa1-4057-98e8-701e8ba77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62994-0E40-4AA6-8BD1-F60B260BC201}">
  <ds:schemaRefs>
    <ds:schemaRef ds:uri="http://schemas.openxmlformats.org/officeDocument/2006/bibliography"/>
  </ds:schemaRefs>
</ds:datastoreItem>
</file>

<file path=customXml/itemProps3.xml><?xml version="1.0" encoding="utf-8"?>
<ds:datastoreItem xmlns:ds="http://schemas.openxmlformats.org/officeDocument/2006/customXml" ds:itemID="{8C645D4B-E6C4-430E-B53B-05205A378CBD}">
  <ds:schemaRefs>
    <ds:schemaRef ds:uri="http://schemas.microsoft.com/office/2006/metadata/properties"/>
    <ds:schemaRef ds:uri="http://schemas.microsoft.com/office/infopath/2007/PartnerControls"/>
    <ds:schemaRef ds:uri="6347d797-4216-4524-9125-53d17549b971"/>
    <ds:schemaRef ds:uri="d0f56806-3aa1-4057-98e8-701e8ba77ed3"/>
  </ds:schemaRefs>
</ds:datastoreItem>
</file>

<file path=customXml/itemProps4.xml><?xml version="1.0" encoding="utf-8"?>
<ds:datastoreItem xmlns:ds="http://schemas.openxmlformats.org/officeDocument/2006/customXml" ds:itemID="{C0615E00-E66D-40B2-8120-83184CB61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4353</Characters>
  <Application>Microsoft Office Word</Application>
  <DocSecurity>0</DocSecurity>
  <Lines>95</Lines>
  <Paragraphs>25</Paragraphs>
  <ScaleCrop>false</ScaleCrop>
  <HeadingPairs>
    <vt:vector size="2" baseType="variant">
      <vt:variant>
        <vt:lpstr>Titel</vt:lpstr>
      </vt:variant>
      <vt:variant>
        <vt:i4>1</vt:i4>
      </vt:variant>
    </vt:vector>
  </HeadingPairs>
  <TitlesOfParts>
    <vt:vector size="1" baseType="lpstr">
      <vt:lpstr>PM PPA Gruenstrom</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PPA Gruenstrom</dc:title>
  <dc:subject>Ü de-us</dc:subject>
  <dc:creator/>
  <cp:lastModifiedBy>Drüppel-Fink, Claudia</cp:lastModifiedBy>
  <cp:revision>10</cp:revision>
  <cp:lastPrinted>2018-02-14T17:43:00Z</cp:lastPrinted>
  <dcterms:created xsi:type="dcterms:W3CDTF">2026-02-02T12:41:00Z</dcterms:created>
  <dcterms:modified xsi:type="dcterms:W3CDTF">2026-02-03T07:53:00Z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0x0101009AD04C396E63CC45BF135E8CD6472756</vt:lpwstr>
  </property>
  <property fmtid="{D5CDD505-2E9C-101B-9397-08002B2CF9AE}" pid="3" name="Order">
    <vt:r8>64800</vt:r8>
  </property>
  <property fmtid="{D5CDD505-2E9C-101B-9397-08002B2CF9AE}" pid="4" name="MediaServiceImageTags">
    <vt:lpwstr/>
  </property>
  <property fmtid="{D5CDD505-2E9C-101B-9397-08002B2CF9AE}" pid="5" name="MSIP_Label_fa1c1ca9-91b2-4501-a911-e360212ef7b0_Enabled">
    <vt:lpwstr>true</vt:lpwstr>
  </property>
  <property fmtid="{D5CDD505-2E9C-101B-9397-08002B2CF9AE}" pid="6" name="MSIP_Label_fa1c1ca9-91b2-4501-a911-e360212ef7b0_SetDate">
    <vt:lpwstr>2025-11-27T11:23:06Z</vt:lpwstr>
  </property>
  <property fmtid="{D5CDD505-2E9C-101B-9397-08002B2CF9AE}" pid="7" name="MSIP_Label_fa1c1ca9-91b2-4501-a911-e360212ef7b0_Method">
    <vt:lpwstr>Privileged</vt:lpwstr>
  </property>
  <property fmtid="{D5CDD505-2E9C-101B-9397-08002B2CF9AE}" pid="8" name="MSIP_Label_fa1c1ca9-91b2-4501-a911-e360212ef7b0_Name">
    <vt:lpwstr>Public</vt:lpwstr>
  </property>
  <property fmtid="{D5CDD505-2E9C-101B-9397-08002B2CF9AE}" pid="9" name="MSIP_Label_fa1c1ca9-91b2-4501-a911-e360212ef7b0_SiteId">
    <vt:lpwstr>18a9a35f-e678-46f2-90f0-7aa865d941c6</vt:lpwstr>
  </property>
  <property fmtid="{D5CDD505-2E9C-101B-9397-08002B2CF9AE}" pid="10" name="MSIP_Label_fa1c1ca9-91b2-4501-a911-e360212ef7b0_ActionId">
    <vt:lpwstr>30b42d71-b437-4dc3-a207-c441e9b65d09</vt:lpwstr>
  </property>
  <property fmtid="{D5CDD505-2E9C-101B-9397-08002B2CF9AE}" pid="11" name="MSIP_Label_fa1c1ca9-91b2-4501-a911-e360212ef7b0_ContentBits">
    <vt:lpwstr>0</vt:lpwstr>
  </property>
  <property fmtid="{D5CDD505-2E9C-101B-9397-08002B2CF9AE}" pid="12" name="MSIP_Label_fa1c1ca9-91b2-4501-a911-e360212ef7b0_Tag">
    <vt:lpwstr>10, 0, 1, 1</vt:lpwstr>
  </property>
  <property fmtid="{D5CDD505-2E9C-101B-9397-08002B2CF9AE}" pid="13" name="docLang">
    <vt:lpwstr>de</vt:lpwstr>
  </property>
</Properties>
</file>