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FB294E" w:rsidP="001E7E0A">
            <w:pPr>
              <w:pStyle w:val="Datumsangabe"/>
            </w:pPr>
            <w:r>
              <w:t>February 8, 2019</w:t>
            </w:r>
            <w:bookmarkStart w:id="0" w:name="_GoBack"/>
            <w:bookmarkEnd w:id="0"/>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441A43" w:rsidRDefault="00441A43" w:rsidP="00441A43">
      <w:pPr>
        <w:rPr>
          <w:b/>
          <w:lang w:val="en-US"/>
        </w:rPr>
      </w:pPr>
      <w:r w:rsidRPr="006A337F">
        <w:rPr>
          <w:b/>
          <w:lang w:val="en-US"/>
        </w:rPr>
        <w:t>thyssenkrupp recognized as a global leader in climate protection for the third time in a row</w:t>
      </w:r>
    </w:p>
    <w:p w:rsidR="00441A43" w:rsidRPr="006A337F" w:rsidRDefault="00441A43" w:rsidP="00441A43">
      <w:pPr>
        <w:rPr>
          <w:b/>
          <w:lang w:val="en-US"/>
        </w:rPr>
      </w:pPr>
    </w:p>
    <w:p w:rsidR="00441A43" w:rsidRDefault="00441A43" w:rsidP="00441A43">
      <w:pPr>
        <w:rPr>
          <w:lang w:val="en-US"/>
        </w:rPr>
      </w:pPr>
      <w:r w:rsidRPr="006A337F">
        <w:rPr>
          <w:lang w:val="en-US"/>
        </w:rPr>
        <w:t>The non-governmental organization CDP (formerly Carbon Disclosure Project) has named thyssenkrupp one of the world's best companies in climate protection for the third time in succession. The award will be presented in Brussels on 19 February.</w:t>
      </w:r>
    </w:p>
    <w:p w:rsidR="00441A43" w:rsidRPr="006A337F" w:rsidRDefault="00441A43" w:rsidP="00441A43">
      <w:pPr>
        <w:rPr>
          <w:lang w:val="en-US"/>
        </w:rPr>
      </w:pPr>
    </w:p>
    <w:p w:rsidR="00441A43" w:rsidRDefault="00441A43" w:rsidP="00441A43">
      <w:pPr>
        <w:rPr>
          <w:lang w:val="en-US"/>
        </w:rPr>
      </w:pPr>
      <w:r w:rsidRPr="006A337F">
        <w:rPr>
          <w:lang w:val="en-US"/>
        </w:rPr>
        <w:t xml:space="preserve">CDP’s scoring system assesses whether companies have formulated a coherent strategy on how to further improve their own environmental performance as well as that of customers and suppliers. thyssenkrupp once again achieved the highest score possible and was placed on CDP’s global “A List”. The list includes around 130 businesses worldwide and only fiveDAX companies. </w:t>
      </w:r>
    </w:p>
    <w:p w:rsidR="00441A43" w:rsidRPr="006A337F" w:rsidRDefault="00441A43" w:rsidP="00441A43">
      <w:pPr>
        <w:rPr>
          <w:lang w:val="en-US"/>
        </w:rPr>
      </w:pPr>
    </w:p>
    <w:p w:rsidR="00441A43" w:rsidRDefault="00441A43" w:rsidP="00441A43">
      <w:pPr>
        <w:rPr>
          <w:lang w:val="en-US"/>
        </w:rPr>
      </w:pPr>
      <w:r w:rsidRPr="006A337F">
        <w:rPr>
          <w:lang w:val="en-US"/>
        </w:rPr>
        <w:t>Several thousand companies worldwide took part in the program, which CDP conducts on behalf of more than 650 institutional investors with assets worth almost USD90 trillion. The organization holds the world’s largest collection of corporate climate data and is regarded a benchmark in the capital markets.</w:t>
      </w:r>
    </w:p>
    <w:p w:rsidR="00441A43" w:rsidRPr="006A337F" w:rsidRDefault="00441A43" w:rsidP="00441A43">
      <w:pPr>
        <w:rPr>
          <w:lang w:val="en-US"/>
        </w:rPr>
      </w:pPr>
    </w:p>
    <w:p w:rsidR="00441A43" w:rsidRDefault="00441A43" w:rsidP="00441A43">
      <w:pPr>
        <w:rPr>
          <w:lang w:val="en-US"/>
        </w:rPr>
      </w:pPr>
      <w:r w:rsidRPr="006A337F">
        <w:rPr>
          <w:lang w:val="en-US"/>
        </w:rPr>
        <w:t>When it comes to climate protection thyssenkrupp focuses on continuous efficiency improvements and long-term innovation leaps – both for its customers and its own processes. "</w:t>
      </w:r>
      <w:r>
        <w:rPr>
          <w:lang w:val="en-US"/>
        </w:rPr>
        <w:t>D</w:t>
      </w:r>
      <w:r w:rsidRPr="006A337F">
        <w:rPr>
          <w:lang w:val="en-US"/>
        </w:rPr>
        <w:t xml:space="preserve">espite the major global challenges, </w:t>
      </w:r>
      <w:r>
        <w:rPr>
          <w:lang w:val="en-US"/>
        </w:rPr>
        <w:t>w</w:t>
      </w:r>
      <w:r w:rsidRPr="006A337F">
        <w:rPr>
          <w:lang w:val="en-US"/>
        </w:rPr>
        <w:t xml:space="preserve">e are optimistic. With </w:t>
      </w:r>
      <w:r>
        <w:rPr>
          <w:lang w:val="en-US"/>
        </w:rPr>
        <w:t xml:space="preserve">our </w:t>
      </w:r>
      <w:r w:rsidRPr="006A337F">
        <w:rPr>
          <w:lang w:val="en-US"/>
        </w:rPr>
        <w:t xml:space="preserve">resource-saving products and processes, we see climate change as an opportunity and are making our contribution to achieving the climate targets," says Reinhold Achatz, </w:t>
      </w:r>
      <w:r>
        <w:rPr>
          <w:lang w:val="en-US"/>
        </w:rPr>
        <w:t xml:space="preserve">Chief Technology Officer at </w:t>
      </w:r>
      <w:r w:rsidRPr="006A337F">
        <w:rPr>
          <w:lang w:val="en-US"/>
        </w:rPr>
        <w:t>thyssenkrupp. "The third award in a row shows we're on the right track."</w:t>
      </w:r>
    </w:p>
    <w:p w:rsidR="00441A43" w:rsidRDefault="00441A43" w:rsidP="00441A43">
      <w:pPr>
        <w:rPr>
          <w:lang w:val="en-US"/>
        </w:rPr>
      </w:pPr>
    </w:p>
    <w:p w:rsidR="00441A43" w:rsidRPr="00441A43" w:rsidRDefault="00441A43" w:rsidP="00441A43">
      <w:pPr>
        <w:rPr>
          <w:i/>
          <w:lang w:val="en-US"/>
        </w:rPr>
      </w:pPr>
      <w:r w:rsidRPr="00441A43">
        <w:rPr>
          <w:i/>
          <w:lang w:val="en-US"/>
        </w:rPr>
        <w:t>With Oxyfuel, for example, thyssenkrupp has developed a solution which efficiently captures CO2 during cement production</w:t>
      </w:r>
    </w:p>
    <w:p w:rsidR="00441A43" w:rsidRPr="006A337F" w:rsidRDefault="00441A43" w:rsidP="00441A43">
      <w:pPr>
        <w:rPr>
          <w:lang w:val="en-US"/>
        </w:rPr>
      </w:pPr>
    </w:p>
    <w:p w:rsidR="00441A43" w:rsidRDefault="00441A43" w:rsidP="00441A43">
      <w:pPr>
        <w:rPr>
          <w:lang w:val="en-US"/>
        </w:rPr>
      </w:pPr>
      <w:r>
        <w:rPr>
          <w:lang w:val="en-US"/>
        </w:rPr>
        <w:t>Another</w:t>
      </w:r>
      <w:r w:rsidRPr="006A337F">
        <w:rPr>
          <w:lang w:val="en-US"/>
        </w:rPr>
        <w:t xml:space="preserve"> example is steel production. There, thyssenkrupp is pursuing a two-pillar strategy to achieve a sustained reduction in emissions - the utilization of </w:t>
      </w:r>
      <w:r>
        <w:rPr>
          <w:lang w:val="en-US"/>
        </w:rPr>
        <w:t>greenhouse</w:t>
      </w:r>
      <w:r w:rsidRPr="006A337F">
        <w:rPr>
          <w:lang w:val="en-US"/>
        </w:rPr>
        <w:t xml:space="preserve"> gases generated during production and strategies for their avoidance. "On the one hand, we are focusing on the Carbon2Chem project, with which we can convert production gases into fuels such as methanol, for example. We have already made good progress here. The next step is the large-scale expansion of the already proven technology. At the same time, we are working on a conversion to hydrogen-based steel production," explains Achatz. </w:t>
      </w:r>
    </w:p>
    <w:p w:rsidR="00441A43" w:rsidRDefault="00441A43" w:rsidP="00441A43">
      <w:pPr>
        <w:rPr>
          <w:lang w:val="en-US"/>
        </w:rPr>
      </w:pPr>
      <w:r w:rsidRPr="006A337F">
        <w:rPr>
          <w:lang w:val="en-US"/>
        </w:rPr>
        <w:lastRenderedPageBreak/>
        <w:t>"We are convinced that there will not be just one technology. This is why we are open to new technologies and pursue different routes.</w:t>
      </w:r>
      <w:r>
        <w:rPr>
          <w:lang w:val="en-US"/>
        </w:rPr>
        <w:t>”</w:t>
      </w:r>
    </w:p>
    <w:p w:rsidR="00441A43" w:rsidRPr="006A337F" w:rsidRDefault="00441A43" w:rsidP="00441A43">
      <w:pPr>
        <w:rPr>
          <w:lang w:val="en-US"/>
        </w:rPr>
      </w:pPr>
    </w:p>
    <w:p w:rsidR="00441A43" w:rsidRDefault="00441A43" w:rsidP="00441A43">
      <w:pPr>
        <w:rPr>
          <w:lang w:val="en-US"/>
        </w:rPr>
      </w:pPr>
      <w:r w:rsidRPr="006A337F">
        <w:rPr>
          <w:lang w:val="en-US"/>
        </w:rPr>
        <w:t xml:space="preserve">Further examples of our portfolio of climate protection solutions can be found on the "Good news for optimists" website at </w:t>
      </w:r>
      <w:hyperlink r:id="rId8" w:history="1">
        <w:r w:rsidRPr="00385EA0">
          <w:rPr>
            <w:rStyle w:val="Hyperlink"/>
            <w:lang w:val="en-US"/>
          </w:rPr>
          <w:t>www.thyssenkrupp.com/</w:t>
        </w:r>
        <w:r w:rsidRPr="00385EA0">
          <w:rPr>
            <w:rStyle w:val="Hyperlink"/>
            <w:lang w:val="en-US"/>
          </w:rPr>
          <w:t>e</w:t>
        </w:r>
        <w:r w:rsidRPr="00385EA0">
          <w:rPr>
            <w:rStyle w:val="Hyperlink"/>
            <w:lang w:val="en-US"/>
          </w:rPr>
          <w:t>n/cop23/</w:t>
        </w:r>
      </w:hyperlink>
    </w:p>
    <w:p w:rsidR="00DE2408" w:rsidRPr="00441A43" w:rsidRDefault="00DE2408" w:rsidP="00DE2408">
      <w:pPr>
        <w:pStyle w:val="StandardWeb1"/>
        <w:spacing w:after="0" w:line="360" w:lineRule="auto"/>
        <w:jc w:val="both"/>
        <w:rPr>
          <w:rFonts w:ascii="TKTypeRegular" w:hAnsi="TKTypeRegular"/>
          <w:sz w:val="20"/>
          <w:szCs w:val="20"/>
          <w:lang w:val="en-US"/>
        </w:rPr>
      </w:pPr>
    </w:p>
    <w:p w:rsidR="006A2F38" w:rsidRDefault="00441A43" w:rsidP="00DE2408">
      <w:pPr>
        <w:pStyle w:val="StandardWeb1"/>
        <w:spacing w:after="0" w:line="288" w:lineRule="auto"/>
        <w:jc w:val="both"/>
        <w:rPr>
          <w:rFonts w:ascii="TKTypeRegular" w:hAnsi="TKTypeRegular"/>
          <w:sz w:val="20"/>
          <w:szCs w:val="20"/>
        </w:rPr>
      </w:pPr>
      <w:r>
        <w:rPr>
          <w:rFonts w:ascii="TKTypeRegular" w:hAnsi="TKTypeRegular"/>
          <w:sz w:val="20"/>
          <w:szCs w:val="20"/>
        </w:rPr>
        <w:t>Contact</w:t>
      </w:r>
    </w:p>
    <w:p w:rsidR="006A2EBC" w:rsidRPr="00883DBB" w:rsidRDefault="006A2EBC" w:rsidP="006A2EBC">
      <w:pPr>
        <w:pStyle w:val="StandardWeb1"/>
        <w:spacing w:before="0" w:after="0" w:line="288" w:lineRule="auto"/>
        <w:jc w:val="both"/>
        <w:rPr>
          <w:rFonts w:asciiTheme="minorHAnsi" w:hAnsiTheme="minorHAnsi"/>
          <w:sz w:val="20"/>
          <w:szCs w:val="20"/>
        </w:rPr>
      </w:pPr>
      <w:r w:rsidRPr="00883DBB">
        <w:rPr>
          <w:rFonts w:asciiTheme="minorHAnsi" w:hAnsiTheme="minorHAnsi"/>
          <w:sz w:val="20"/>
          <w:szCs w:val="20"/>
        </w:rPr>
        <w:t>thyssenkrupp AG</w:t>
      </w:r>
    </w:p>
    <w:p w:rsidR="006A2EBC" w:rsidRPr="00883DBB" w:rsidRDefault="006A2EBC" w:rsidP="006A2EBC">
      <w:pPr>
        <w:pStyle w:val="StandardWeb1"/>
        <w:spacing w:before="0" w:after="0" w:line="288" w:lineRule="auto"/>
        <w:jc w:val="both"/>
        <w:rPr>
          <w:rFonts w:asciiTheme="minorHAnsi" w:hAnsiTheme="minorHAnsi"/>
          <w:sz w:val="20"/>
          <w:szCs w:val="20"/>
        </w:rPr>
      </w:pPr>
      <w:r w:rsidRPr="00883DBB">
        <w:rPr>
          <w:rFonts w:asciiTheme="minorHAnsi" w:hAnsiTheme="minorHAnsi"/>
          <w:sz w:val="20"/>
          <w:szCs w:val="20"/>
        </w:rPr>
        <w:t>Pressesprecher Konzernthemen</w:t>
      </w:r>
    </w:p>
    <w:p w:rsidR="006A2EBC" w:rsidRPr="00883DBB" w:rsidRDefault="006A2EBC" w:rsidP="006A2EBC">
      <w:pPr>
        <w:pStyle w:val="StandardWeb1"/>
        <w:spacing w:before="0" w:after="0" w:line="288" w:lineRule="auto"/>
        <w:jc w:val="both"/>
        <w:rPr>
          <w:rFonts w:asciiTheme="minorHAnsi" w:hAnsiTheme="minorHAnsi"/>
          <w:sz w:val="20"/>
          <w:szCs w:val="20"/>
        </w:rPr>
      </w:pPr>
      <w:r w:rsidRPr="00883DBB">
        <w:rPr>
          <w:rFonts w:asciiTheme="minorHAnsi" w:hAnsiTheme="minorHAnsi"/>
          <w:sz w:val="20"/>
          <w:szCs w:val="20"/>
        </w:rPr>
        <w:t>Jakob Barzel</w:t>
      </w:r>
    </w:p>
    <w:p w:rsidR="006A2EBC" w:rsidRDefault="006A2EBC" w:rsidP="006A2EBC">
      <w:pPr>
        <w:pStyle w:val="StandardWeb1"/>
        <w:spacing w:before="0" w:after="0" w:line="288" w:lineRule="auto"/>
        <w:jc w:val="both"/>
        <w:rPr>
          <w:rFonts w:ascii="TKTypeRegular" w:hAnsi="TKTypeRegular"/>
          <w:sz w:val="20"/>
          <w:szCs w:val="20"/>
        </w:rPr>
      </w:pPr>
      <w:r>
        <w:rPr>
          <w:rFonts w:ascii="TKTypeRegular" w:hAnsi="TKTypeRegular"/>
          <w:sz w:val="20"/>
          <w:szCs w:val="20"/>
        </w:rPr>
        <w:t>T: +49 201 844-535204</w:t>
      </w:r>
    </w:p>
    <w:p w:rsidR="006A2EBC" w:rsidRDefault="006A2EBC" w:rsidP="006A2EBC">
      <w:pPr>
        <w:pStyle w:val="StandardWeb1"/>
        <w:spacing w:before="0" w:after="0" w:line="288" w:lineRule="auto"/>
        <w:jc w:val="both"/>
        <w:rPr>
          <w:rFonts w:ascii="TKTypeRegular" w:hAnsi="TKTypeRegular"/>
          <w:sz w:val="20"/>
          <w:szCs w:val="20"/>
        </w:rPr>
      </w:pPr>
      <w:hyperlink r:id="rId9" w:history="1">
        <w:r w:rsidRPr="00C51AF9">
          <w:rPr>
            <w:rStyle w:val="Hyperlink"/>
            <w:rFonts w:ascii="TKTypeRegular" w:hAnsi="TKTypeRegular"/>
            <w:sz w:val="20"/>
            <w:szCs w:val="20"/>
          </w:rPr>
          <w:t>Jakob.barzel@thyssenkrupp.com</w:t>
        </w:r>
      </w:hyperlink>
    </w:p>
    <w:p w:rsidR="006A2EBC" w:rsidRDefault="006A2EBC" w:rsidP="006A2EBC">
      <w:pPr>
        <w:pStyle w:val="StandardWeb1"/>
        <w:spacing w:before="0" w:after="0" w:line="288" w:lineRule="auto"/>
        <w:jc w:val="both"/>
        <w:rPr>
          <w:rFonts w:ascii="TKTypeRegular" w:hAnsi="TKTypeRegular"/>
          <w:sz w:val="20"/>
          <w:szCs w:val="20"/>
        </w:rPr>
      </w:pPr>
      <w:hyperlink r:id="rId10" w:history="1">
        <w:r w:rsidRPr="00C51AF9">
          <w:rPr>
            <w:rStyle w:val="Hyperlink"/>
            <w:rFonts w:ascii="TKTypeRegular" w:hAnsi="TKTypeRegular"/>
            <w:sz w:val="20"/>
            <w:szCs w:val="20"/>
          </w:rPr>
          <w:t>www.thyssenkrupp.com</w:t>
        </w:r>
      </w:hyperlink>
    </w:p>
    <w:p w:rsidR="006A2EBC" w:rsidRPr="00EF1D36" w:rsidRDefault="006A2EBC" w:rsidP="006A2EBC">
      <w:pPr>
        <w:spacing w:line="288" w:lineRule="auto"/>
        <w:jc w:val="both"/>
        <w:rPr>
          <w:lang w:val="en-US"/>
        </w:rPr>
      </w:pPr>
      <w:r w:rsidRPr="00EF1D36">
        <w:rPr>
          <w:lang w:val="en-US"/>
        </w:rPr>
        <w:t xml:space="preserve">Company blog: </w:t>
      </w:r>
      <w:hyperlink r:id="rId11" w:history="1">
        <w:r w:rsidRPr="00EF1D36">
          <w:rPr>
            <w:rStyle w:val="Hyperlink"/>
            <w:lang w:val="en-US"/>
          </w:rPr>
          <w:t>https://engineered.thyssenkrupp.com</w:t>
        </w:r>
      </w:hyperlink>
    </w:p>
    <w:p w:rsidR="006A2EBC" w:rsidRDefault="006A2EBC" w:rsidP="006A2EBC">
      <w:pPr>
        <w:pStyle w:val="StandardWeb1"/>
        <w:spacing w:after="0" w:line="288" w:lineRule="auto"/>
        <w:jc w:val="both"/>
        <w:rPr>
          <w:rFonts w:asciiTheme="minorHAnsi" w:hAnsiTheme="minorHAnsi"/>
          <w:sz w:val="20"/>
          <w:szCs w:val="20"/>
          <w:lang w:val="en-US"/>
        </w:rPr>
      </w:pPr>
    </w:p>
    <w:p w:rsidR="006A2EBC" w:rsidRPr="00EF1D36" w:rsidRDefault="006A2EBC" w:rsidP="006A2EBC">
      <w:pPr>
        <w:pStyle w:val="StandardWeb1"/>
        <w:spacing w:after="0" w:line="288" w:lineRule="auto"/>
        <w:jc w:val="both"/>
        <w:rPr>
          <w:rFonts w:asciiTheme="minorHAnsi" w:hAnsiTheme="minorHAnsi"/>
          <w:sz w:val="20"/>
          <w:szCs w:val="20"/>
          <w:lang w:val="en-US"/>
        </w:rPr>
      </w:pPr>
      <w:r w:rsidRPr="00EF1D36">
        <w:rPr>
          <w:rFonts w:asciiTheme="minorHAnsi" w:hAnsiTheme="minorHAnsi"/>
          <w:sz w:val="20"/>
          <w:szCs w:val="20"/>
          <w:lang w:val="en-US"/>
        </w:rPr>
        <w:t>thyssenkrupp Steel Europe AG</w:t>
      </w:r>
    </w:p>
    <w:p w:rsidR="006A2EBC" w:rsidRPr="00EF1D36" w:rsidRDefault="006A2EBC" w:rsidP="006A2EBC">
      <w:pPr>
        <w:spacing w:line="288" w:lineRule="auto"/>
        <w:rPr>
          <w:szCs w:val="20"/>
          <w:lang w:val="en-US"/>
        </w:rPr>
      </w:pPr>
      <w:r w:rsidRPr="00EF1D36">
        <w:rPr>
          <w:szCs w:val="20"/>
          <w:lang w:val="en-US"/>
        </w:rPr>
        <w:t>External Communications</w:t>
      </w:r>
    </w:p>
    <w:p w:rsidR="006A2EBC" w:rsidRPr="00EE4A53" w:rsidRDefault="006A2EBC" w:rsidP="006A2EBC">
      <w:pPr>
        <w:spacing w:line="288" w:lineRule="auto"/>
        <w:rPr>
          <w:szCs w:val="20"/>
        </w:rPr>
      </w:pPr>
      <w:r>
        <w:rPr>
          <w:szCs w:val="20"/>
        </w:rPr>
        <w:t>Mark Stagge</w:t>
      </w:r>
    </w:p>
    <w:p w:rsidR="006A2EBC" w:rsidRPr="00EE4A53" w:rsidRDefault="006A2EBC" w:rsidP="006A2EBC">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Pr>
          <w:szCs w:val="20"/>
        </w:rPr>
        <w:t>25159</w:t>
      </w:r>
    </w:p>
    <w:p w:rsidR="006A2EBC" w:rsidRDefault="006A2EBC" w:rsidP="006A2EBC">
      <w:pPr>
        <w:spacing w:line="288" w:lineRule="auto"/>
        <w:rPr>
          <w:szCs w:val="20"/>
        </w:rPr>
      </w:pPr>
      <w:hyperlink r:id="rId12" w:history="1">
        <w:r w:rsidRPr="00EF7EC7">
          <w:rPr>
            <w:rStyle w:val="Hyperlink"/>
            <w:szCs w:val="20"/>
          </w:rPr>
          <w:t>mark.stagge@thyssenkrupp.com</w:t>
        </w:r>
      </w:hyperlink>
    </w:p>
    <w:p w:rsidR="006A2EBC" w:rsidRDefault="006A2EBC" w:rsidP="006A2EBC">
      <w:pPr>
        <w:spacing w:line="288" w:lineRule="auto"/>
        <w:rPr>
          <w:rStyle w:val="Hyperlink"/>
        </w:rPr>
      </w:pPr>
      <w:hyperlink r:id="rId13" w:history="1">
        <w:r w:rsidRPr="00CE255A">
          <w:rPr>
            <w:rStyle w:val="Hyperlink"/>
          </w:rPr>
          <w:t>www.thyssenkrupp-steel.com</w:t>
        </w:r>
      </w:hyperlink>
    </w:p>
    <w:p w:rsidR="00DE2408" w:rsidRPr="00EF2114" w:rsidRDefault="00DE2408">
      <w:pPr>
        <w:spacing w:line="288" w:lineRule="auto"/>
        <w:jc w:val="both"/>
        <w:rPr>
          <w:szCs w:val="20"/>
        </w:rPr>
      </w:pPr>
    </w:p>
    <w:sectPr w:rsidR="00DE2408" w:rsidRPr="00EF2114"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42" w:rsidRDefault="00D61E42" w:rsidP="005B5ABA">
      <w:pPr>
        <w:spacing w:line="240" w:lineRule="auto"/>
      </w:pPr>
      <w:r>
        <w:separator/>
      </w:r>
    </w:p>
  </w:endnote>
  <w:endnote w:type="continuationSeparator" w:id="0">
    <w:p w:rsidR="00D61E42" w:rsidRDefault="00D61E4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altName w:val="Lobste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265E95">
                            <w:rPr>
                              <w:rFonts w:asciiTheme="majorHAnsi" w:hAnsiTheme="majorHAnsi"/>
                              <w:szCs w:val="14"/>
                            </w:rPr>
                            <w:t>N.N.</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265E95">
                      <w:rPr>
                        <w:rFonts w:asciiTheme="majorHAnsi" w:hAnsiTheme="majorHAnsi"/>
                        <w:szCs w:val="14"/>
                      </w:rPr>
                      <w:t>N.N.</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20A" w:rsidRPr="00017C1F" w:rsidRDefault="00EE420A" w:rsidP="00EE420A">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Germany, T: +49 203 52 -25168, </w:t>
                          </w:r>
                          <w:r>
                            <w:rPr>
                              <w:rFonts w:asciiTheme="majorHAnsi" w:hAnsiTheme="majorHAnsi"/>
                              <w:szCs w:val="14"/>
                            </w:rPr>
                            <w:t>press-steel@thyssenkrupp.com</w:t>
                          </w:r>
                          <w:r w:rsidRPr="00017C1F">
                            <w:rPr>
                              <w:rFonts w:asciiTheme="majorHAnsi" w:hAnsiTheme="majorHAnsi"/>
                              <w:szCs w:val="14"/>
                            </w:rPr>
                            <w:t>, www.thyssenkrupp-steel.com</w:t>
                          </w:r>
                        </w:p>
                        <w:p w:rsidR="00EE420A" w:rsidRPr="00C01F03" w:rsidRDefault="00EE420A" w:rsidP="00EE420A">
                          <w:pPr>
                            <w:pStyle w:val="Fuzeile"/>
                            <w:tabs>
                              <w:tab w:val="clear" w:pos="4536"/>
                              <w:tab w:val="clear" w:pos="9072"/>
                              <w:tab w:val="left" w:pos="4082"/>
                            </w:tabs>
                            <w:spacing w:line="200" w:lineRule="exact"/>
                            <w:ind w:left="0"/>
                            <w:rPr>
                              <w:rFonts w:asciiTheme="majorHAnsi" w:hAnsiTheme="majorHAnsi"/>
                              <w:szCs w:val="14"/>
                              <w:lang w:val="en-US"/>
                            </w:rPr>
                          </w:pPr>
                          <w:r w:rsidRPr="00C01F03">
                            <w:rPr>
                              <w:rFonts w:asciiTheme="majorHAnsi" w:hAnsiTheme="majorHAnsi"/>
                              <w:szCs w:val="14"/>
                              <w:lang w:val="en-US"/>
                            </w:rPr>
                            <w:t>Chairman of the Supervisory Board: Guido Kerkhoff</w:t>
                          </w:r>
                        </w:p>
                        <w:p w:rsidR="00EE420A" w:rsidRPr="008510DB" w:rsidRDefault="00EE420A" w:rsidP="00EE420A">
                          <w:pPr>
                            <w:pStyle w:val="Fuzeile"/>
                            <w:tabs>
                              <w:tab w:val="clear" w:pos="4536"/>
                              <w:tab w:val="clear" w:pos="9072"/>
                              <w:tab w:val="left" w:pos="4082"/>
                            </w:tabs>
                            <w:spacing w:line="200" w:lineRule="exact"/>
                            <w:rPr>
                              <w:rFonts w:asciiTheme="majorHAnsi" w:hAnsiTheme="majorHAnsi"/>
                              <w:szCs w:val="14"/>
                              <w:lang w:val="en-US"/>
                            </w:rPr>
                          </w:pPr>
                          <w:r w:rsidRPr="00C01F03">
                            <w:rPr>
                              <w:rFonts w:asciiTheme="majorHAnsi" w:hAnsiTheme="majorHAnsi"/>
                              <w:szCs w:val="14"/>
                              <w:lang w:val="en-US"/>
                            </w:rPr>
                            <w:t xml:space="preserve">Executive Board:Andreas J. Goss, Chairman, Premal A. Desai, Dr.-Ing. </w:t>
                          </w:r>
                          <w:r w:rsidRPr="008510DB">
                            <w:rPr>
                              <w:rFonts w:asciiTheme="majorHAnsi" w:hAnsiTheme="majorHAnsi"/>
                              <w:szCs w:val="14"/>
                              <w:lang w:val="en-US"/>
                            </w:rPr>
                            <w:t>Heribert R. Fischer, Dr.-Ing. Arnd Köfler, Dr. Sabine Maaßen</w:t>
                          </w:r>
                        </w:p>
                        <w:p w:rsidR="00EE420A" w:rsidRPr="00C01F03" w:rsidRDefault="00EE420A" w:rsidP="00EE420A">
                          <w:pPr>
                            <w:pStyle w:val="Fuzeile"/>
                            <w:ind w:left="0"/>
                            <w:rPr>
                              <w:rFonts w:asciiTheme="majorHAnsi" w:hAnsiTheme="majorHAnsi"/>
                              <w:lang w:val="en-US"/>
                            </w:rPr>
                          </w:pPr>
                          <w:r w:rsidRPr="00C01F03">
                            <w:rPr>
                              <w:rFonts w:asciiTheme="majorHAnsi" w:hAnsiTheme="majorHAnsi"/>
                              <w:szCs w:val="14"/>
                              <w:lang w:val="en-US"/>
                            </w:rPr>
                            <w:t>Company seat: Duisburg, Commercial register: District Court of Duisburg: HR B 9326</w:t>
                          </w:r>
                        </w:p>
                        <w:p w:rsidR="007D3550" w:rsidRPr="00EE420A" w:rsidRDefault="007D3550" w:rsidP="00957075">
                          <w:pPr>
                            <w:pStyle w:val="Fuzeile"/>
                            <w:rPr>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EE420A" w:rsidRPr="00017C1F" w:rsidRDefault="00EE420A" w:rsidP="00EE420A">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Germany, T: +49 203 52 -25168, </w:t>
                    </w:r>
                    <w:r>
                      <w:rPr>
                        <w:rFonts w:asciiTheme="majorHAnsi" w:hAnsiTheme="majorHAnsi"/>
                        <w:szCs w:val="14"/>
                      </w:rPr>
                      <w:t>press-steel@thyssenkrupp.com</w:t>
                    </w:r>
                    <w:r w:rsidRPr="00017C1F">
                      <w:rPr>
                        <w:rFonts w:asciiTheme="majorHAnsi" w:hAnsiTheme="majorHAnsi"/>
                        <w:szCs w:val="14"/>
                      </w:rPr>
                      <w:t>, www.thyssenkrupp-steel.com</w:t>
                    </w:r>
                  </w:p>
                  <w:p w:rsidR="00EE420A" w:rsidRPr="00C01F03" w:rsidRDefault="00EE420A" w:rsidP="00EE420A">
                    <w:pPr>
                      <w:pStyle w:val="Fuzeile"/>
                      <w:tabs>
                        <w:tab w:val="clear" w:pos="4536"/>
                        <w:tab w:val="clear" w:pos="9072"/>
                        <w:tab w:val="left" w:pos="4082"/>
                      </w:tabs>
                      <w:spacing w:line="200" w:lineRule="exact"/>
                      <w:ind w:left="0"/>
                      <w:rPr>
                        <w:rFonts w:asciiTheme="majorHAnsi" w:hAnsiTheme="majorHAnsi"/>
                        <w:szCs w:val="14"/>
                        <w:lang w:val="en-US"/>
                      </w:rPr>
                    </w:pPr>
                    <w:r w:rsidRPr="00C01F03">
                      <w:rPr>
                        <w:rFonts w:asciiTheme="majorHAnsi" w:hAnsiTheme="majorHAnsi"/>
                        <w:szCs w:val="14"/>
                        <w:lang w:val="en-US"/>
                      </w:rPr>
                      <w:t>Chairman of the Supervisory Board: Guido Kerkhoff</w:t>
                    </w:r>
                  </w:p>
                  <w:p w:rsidR="00EE420A" w:rsidRPr="008510DB" w:rsidRDefault="00EE420A" w:rsidP="00EE420A">
                    <w:pPr>
                      <w:pStyle w:val="Fuzeile"/>
                      <w:tabs>
                        <w:tab w:val="clear" w:pos="4536"/>
                        <w:tab w:val="clear" w:pos="9072"/>
                        <w:tab w:val="left" w:pos="4082"/>
                      </w:tabs>
                      <w:spacing w:line="200" w:lineRule="exact"/>
                      <w:rPr>
                        <w:rFonts w:asciiTheme="majorHAnsi" w:hAnsiTheme="majorHAnsi"/>
                        <w:szCs w:val="14"/>
                        <w:lang w:val="en-US"/>
                      </w:rPr>
                    </w:pPr>
                    <w:r w:rsidRPr="00C01F03">
                      <w:rPr>
                        <w:rFonts w:asciiTheme="majorHAnsi" w:hAnsiTheme="majorHAnsi"/>
                        <w:szCs w:val="14"/>
                        <w:lang w:val="en-US"/>
                      </w:rPr>
                      <w:t xml:space="preserve">Executive Board:Andreas J. Goss, Chairman, Premal A. Desai, Dr.-Ing. </w:t>
                    </w:r>
                    <w:r w:rsidRPr="008510DB">
                      <w:rPr>
                        <w:rFonts w:asciiTheme="majorHAnsi" w:hAnsiTheme="majorHAnsi"/>
                        <w:szCs w:val="14"/>
                        <w:lang w:val="en-US"/>
                      </w:rPr>
                      <w:t>Heribert R. Fischer, Dr.-Ing. Arnd Köfler, Dr. Sabine Maaßen</w:t>
                    </w:r>
                  </w:p>
                  <w:p w:rsidR="00EE420A" w:rsidRPr="00C01F03" w:rsidRDefault="00EE420A" w:rsidP="00EE420A">
                    <w:pPr>
                      <w:pStyle w:val="Fuzeile"/>
                      <w:ind w:left="0"/>
                      <w:rPr>
                        <w:rFonts w:asciiTheme="majorHAnsi" w:hAnsiTheme="majorHAnsi"/>
                        <w:lang w:val="en-US"/>
                      </w:rPr>
                    </w:pPr>
                    <w:r w:rsidRPr="00C01F03">
                      <w:rPr>
                        <w:rFonts w:asciiTheme="majorHAnsi" w:hAnsiTheme="majorHAnsi"/>
                        <w:szCs w:val="14"/>
                        <w:lang w:val="en-US"/>
                      </w:rPr>
                      <w:t>Company seat: Duisburg, Commercial register: District Court of Duisburg: HR B 9326</w:t>
                    </w:r>
                  </w:p>
                  <w:p w:rsidR="007D3550" w:rsidRPr="00EE420A" w:rsidRDefault="007D3550" w:rsidP="00957075">
                    <w:pPr>
                      <w:pStyle w:val="Fuzeile"/>
                      <w:rPr>
                        <w:lang w:val="en-US"/>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42" w:rsidRDefault="00D61E42" w:rsidP="005B5ABA">
      <w:pPr>
        <w:spacing w:line="240" w:lineRule="auto"/>
      </w:pPr>
      <w:r>
        <w:separator/>
      </w:r>
    </w:p>
  </w:footnote>
  <w:footnote w:type="continuationSeparator" w:id="0">
    <w:p w:rsidR="00D61E42" w:rsidRDefault="00D61E42"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632A81" w:rsidP="001E7E0A">
                          <w:pPr>
                            <w:pStyle w:val="Datumsangabe"/>
                          </w:pPr>
                          <w:fldSimple w:instr=" STYLEREF  Datumsangabe  \* MERGEFORMAT ">
                            <w:r w:rsidR="00FB294E">
                              <w:rPr>
                                <w:noProof/>
                              </w:rPr>
                              <w:t>February 8, 2019</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FB294E">
                            <w:rPr>
                              <w:noProof/>
                            </w:rPr>
                            <w:t>2</w:t>
                          </w:r>
                          <w:r>
                            <w:fldChar w:fldCharType="end"/>
                          </w:r>
                          <w:r>
                            <w:t>/</w:t>
                          </w:r>
                          <w:r w:rsidR="00D61E42">
                            <w:rPr>
                              <w:noProof/>
                            </w:rPr>
                            <w:fldChar w:fldCharType="begin"/>
                          </w:r>
                          <w:r w:rsidR="00D61E42">
                            <w:rPr>
                              <w:noProof/>
                            </w:rPr>
                            <w:instrText xml:space="preserve"> NUMPAGES   \* MERGEFORMAT </w:instrText>
                          </w:r>
                          <w:r w:rsidR="00D61E42">
                            <w:rPr>
                              <w:noProof/>
                            </w:rPr>
                            <w:fldChar w:fldCharType="separate"/>
                          </w:r>
                          <w:r w:rsidR="00FB294E">
                            <w:rPr>
                              <w:noProof/>
                            </w:rPr>
                            <w:t>2</w:t>
                          </w:r>
                          <w:r w:rsidR="00D61E4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632A81" w:rsidP="001E7E0A">
                    <w:pPr>
                      <w:pStyle w:val="Datumsangabe"/>
                    </w:pPr>
                    <w:fldSimple w:instr=" STYLEREF  Datumsangabe  \* MERGEFORMAT ">
                      <w:r w:rsidR="00FB294E">
                        <w:rPr>
                          <w:noProof/>
                        </w:rPr>
                        <w:t>February 8, 2019</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FB294E">
                      <w:rPr>
                        <w:noProof/>
                      </w:rPr>
                      <w:t>2</w:t>
                    </w:r>
                    <w:r>
                      <w:fldChar w:fldCharType="end"/>
                    </w:r>
                    <w:r>
                      <w:t>/</w:t>
                    </w:r>
                    <w:r w:rsidR="00D61E42">
                      <w:rPr>
                        <w:noProof/>
                      </w:rPr>
                      <w:fldChar w:fldCharType="begin"/>
                    </w:r>
                    <w:r w:rsidR="00D61E42">
                      <w:rPr>
                        <w:noProof/>
                      </w:rPr>
                      <w:instrText xml:space="preserve"> NUMPAGES   \* MERGEFORMAT </w:instrText>
                    </w:r>
                    <w:r w:rsidR="00D61E42">
                      <w:rPr>
                        <w:noProof/>
                      </w:rPr>
                      <w:fldChar w:fldCharType="separate"/>
                    </w:r>
                    <w:r w:rsidR="00FB294E">
                      <w:rPr>
                        <w:noProof/>
                      </w:rPr>
                      <w:t>2</w:t>
                    </w:r>
                    <w:r w:rsidR="00D61E42">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EE420A">
      <w:t>Press release</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35pt;height:4.35pt" o:bullet="t">
        <v:imagedata r:id="rId1" o:title="Bullet_blau_RGB_klein"/>
      </v:shape>
    </w:pict>
  </w:numPicBullet>
  <w:numPicBullet w:numPicBulletId="1">
    <w:pict>
      <v:shape id="_x0000_i1077" type="#_x0000_t75" style="width:4.35pt;height:4.3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1FFE"/>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1A4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70F0F"/>
    <w:rsid w:val="00681BAF"/>
    <w:rsid w:val="006870AC"/>
    <w:rsid w:val="00690122"/>
    <w:rsid w:val="0069533D"/>
    <w:rsid w:val="006977CF"/>
    <w:rsid w:val="006A2EBC"/>
    <w:rsid w:val="006A2F38"/>
    <w:rsid w:val="006C070F"/>
    <w:rsid w:val="006C1FC9"/>
    <w:rsid w:val="006C4DE2"/>
    <w:rsid w:val="006C6040"/>
    <w:rsid w:val="006D2BC1"/>
    <w:rsid w:val="006D76F9"/>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0FBF"/>
    <w:rsid w:val="00A51FAE"/>
    <w:rsid w:val="00A54FA1"/>
    <w:rsid w:val="00A56A1B"/>
    <w:rsid w:val="00A57961"/>
    <w:rsid w:val="00A64166"/>
    <w:rsid w:val="00A64592"/>
    <w:rsid w:val="00A658EA"/>
    <w:rsid w:val="00A67B90"/>
    <w:rsid w:val="00A70C82"/>
    <w:rsid w:val="00A70ED2"/>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1E42"/>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B29ED"/>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20A"/>
    <w:rsid w:val="00EE4A53"/>
    <w:rsid w:val="00EF2114"/>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294E"/>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F450FD"/>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BesuchterLink">
    <w:name w:val="FollowedHyperlink"/>
    <w:basedOn w:val="Absatz-Standardschriftart"/>
    <w:uiPriority w:val="99"/>
    <w:semiHidden/>
    <w:unhideWhenUsed/>
    <w:rsid w:val="00441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com/en/cop23/" TargetMode="Externa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stagge@thyssenkrup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ineered.thyssenkrup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yssenkrup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kob.barzel@thyssenkrup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AA8B-ABDC-4AC2-B48D-1A616AD4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4</cp:revision>
  <cp:lastPrinted>2018-02-14T17:43:00Z</cp:lastPrinted>
  <dcterms:created xsi:type="dcterms:W3CDTF">2019-02-08T11:18:00Z</dcterms:created>
  <dcterms:modified xsi:type="dcterms:W3CDTF">2019-02-08T11:22:00Z</dcterms:modified>
</cp:coreProperties>
</file>