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01B77428" w14:textId="77777777" w:rsidTr="008D3DFA">
        <w:trPr>
          <w:trHeight w:val="45"/>
        </w:trPr>
        <w:tc>
          <w:tcPr>
            <w:tcW w:w="7655" w:type="dxa"/>
          </w:tcPr>
          <w:p w14:paraId="33B85D03" w14:textId="77777777" w:rsidR="008D3DFA" w:rsidRDefault="008D3DFA" w:rsidP="009A1FF7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42D50897" w14:textId="77777777" w:rsidR="008D3DFA" w:rsidRDefault="009772C9" w:rsidP="009A1FF7">
            <w:pPr>
              <w:pStyle w:val="BusinessArea"/>
              <w:jc w:val="both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55084F66" w14:textId="77777777" w:rsidTr="001E7E0A">
        <w:trPr>
          <w:trHeight w:val="408"/>
        </w:trPr>
        <w:tc>
          <w:tcPr>
            <w:tcW w:w="7655" w:type="dxa"/>
          </w:tcPr>
          <w:p w14:paraId="75EFDA33" w14:textId="77777777" w:rsidR="001E7E0A" w:rsidRDefault="001E7E0A" w:rsidP="009A1FF7">
            <w:pPr>
              <w:jc w:val="both"/>
            </w:pPr>
          </w:p>
        </w:tc>
        <w:tc>
          <w:tcPr>
            <w:tcW w:w="1724" w:type="dxa"/>
          </w:tcPr>
          <w:p w14:paraId="0D92D529" w14:textId="77777777" w:rsidR="001E7E0A" w:rsidRDefault="001E7E0A" w:rsidP="009A1FF7">
            <w:pPr>
              <w:pStyle w:val="BusinessArea"/>
              <w:jc w:val="both"/>
            </w:pPr>
          </w:p>
        </w:tc>
      </w:tr>
      <w:tr w:rsidR="001E7E0A" w14:paraId="3B37B4E4" w14:textId="77777777" w:rsidTr="001E7E0A">
        <w:trPr>
          <w:trHeight w:val="992"/>
        </w:trPr>
        <w:tc>
          <w:tcPr>
            <w:tcW w:w="7655" w:type="dxa"/>
          </w:tcPr>
          <w:p w14:paraId="3ADADD2A" w14:textId="77777777" w:rsidR="001E7E0A" w:rsidRDefault="001E7E0A" w:rsidP="009A1FF7">
            <w:pPr>
              <w:pStyle w:val="Absenderadresse1"/>
              <w:jc w:val="both"/>
            </w:pPr>
          </w:p>
        </w:tc>
        <w:tc>
          <w:tcPr>
            <w:tcW w:w="1724" w:type="dxa"/>
          </w:tcPr>
          <w:p w14:paraId="79635751" w14:textId="76B6653D" w:rsidR="001E7E0A" w:rsidRDefault="00C01A47" w:rsidP="009A1FF7">
            <w:pPr>
              <w:pStyle w:val="Datumsangabe"/>
              <w:jc w:val="both"/>
            </w:pPr>
            <w:r>
              <w:t>08.11.2018</w:t>
            </w:r>
          </w:p>
          <w:p w14:paraId="7319AE11" w14:textId="77777777" w:rsidR="001E7E0A" w:rsidRPr="0087668E" w:rsidRDefault="001E7E0A" w:rsidP="009A1FF7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76ECD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63236C43" w14:textId="68D134F6" w:rsidR="00B536F1" w:rsidRDefault="00B11514" w:rsidP="009A1FF7">
      <w:pPr>
        <w:ind w:right="1134"/>
        <w:jc w:val="both"/>
        <w:rPr>
          <w:rFonts w:cs="Arial"/>
          <w:b/>
        </w:rPr>
      </w:pPr>
      <w:r>
        <w:rPr>
          <w:rFonts w:cs="Arial"/>
          <w:b/>
        </w:rPr>
        <w:t xml:space="preserve">Bedeutendes Investitionsprojekt bei thyssenkrupp Steel vor dem Abschluss: </w:t>
      </w:r>
      <w:r w:rsidR="004A22BD">
        <w:rPr>
          <w:rFonts w:cs="Arial"/>
          <w:b/>
        </w:rPr>
        <w:t>Neuer Pfannen</w:t>
      </w:r>
      <w:r w:rsidR="00B85463">
        <w:rPr>
          <w:rFonts w:cs="Arial"/>
          <w:b/>
        </w:rPr>
        <w:t>ofen</w:t>
      </w:r>
      <w:r w:rsidR="00F93621">
        <w:rPr>
          <w:rFonts w:cs="Arial"/>
          <w:b/>
        </w:rPr>
        <w:t xml:space="preserve"> im Stahlwerk</w:t>
      </w:r>
      <w:r w:rsidR="00B85463">
        <w:rPr>
          <w:rFonts w:cs="Arial"/>
          <w:b/>
        </w:rPr>
        <w:t xml:space="preserve"> </w:t>
      </w:r>
      <w:r>
        <w:rPr>
          <w:rFonts w:cs="Arial"/>
          <w:b/>
        </w:rPr>
        <w:t xml:space="preserve">ist </w:t>
      </w:r>
      <w:r w:rsidR="001916A6">
        <w:rPr>
          <w:rFonts w:cs="Arial"/>
          <w:b/>
        </w:rPr>
        <w:t>jetzt in der Erprobung</w:t>
      </w:r>
      <w:r w:rsidR="00B85463">
        <w:rPr>
          <w:rFonts w:cs="Arial"/>
          <w:b/>
        </w:rPr>
        <w:t>sphase</w:t>
      </w:r>
      <w:bookmarkStart w:id="0" w:name="_GoBack"/>
      <w:bookmarkEnd w:id="0"/>
    </w:p>
    <w:p w14:paraId="60FD3395" w14:textId="77777777" w:rsidR="00B536F1" w:rsidRDefault="00B536F1" w:rsidP="009A1FF7">
      <w:pPr>
        <w:ind w:right="1134"/>
        <w:jc w:val="both"/>
        <w:rPr>
          <w:rFonts w:cs="Arial"/>
          <w:b/>
        </w:rPr>
      </w:pPr>
    </w:p>
    <w:p w14:paraId="6CB0D4E3" w14:textId="77777777" w:rsidR="005B5183" w:rsidRPr="005B5183" w:rsidRDefault="00E03A3B" w:rsidP="009A1FF7">
      <w:pPr>
        <w:pStyle w:val="Listenabsatz"/>
        <w:numPr>
          <w:ilvl w:val="0"/>
          <w:numId w:val="28"/>
        </w:numPr>
        <w:ind w:left="284" w:right="1134"/>
        <w:jc w:val="both"/>
        <w:rPr>
          <w:i/>
        </w:rPr>
      </w:pPr>
      <w:r>
        <w:t>S</w:t>
      </w:r>
      <w:r w:rsidR="001916A6">
        <w:t>trategische Investition zur Produktion h</w:t>
      </w:r>
      <w:r w:rsidR="00B85463">
        <w:t xml:space="preserve">ochwertiger </w:t>
      </w:r>
      <w:r w:rsidR="008B7A64">
        <w:t>Stahlg</w:t>
      </w:r>
      <w:r w:rsidR="001916A6">
        <w:t>üten</w:t>
      </w:r>
      <w:r w:rsidR="00136A04">
        <w:t xml:space="preserve"> mit </w:t>
      </w:r>
      <w:r w:rsidR="008B7A64">
        <w:t>optimierten</w:t>
      </w:r>
      <w:r w:rsidR="00136A04">
        <w:t xml:space="preserve"> Reinheitsgraden</w:t>
      </w:r>
      <w:r w:rsidR="005B5183">
        <w:t xml:space="preserve"> </w:t>
      </w:r>
    </w:p>
    <w:p w14:paraId="56E3E8AC" w14:textId="77777777" w:rsidR="00B85463" w:rsidRPr="00B85463" w:rsidRDefault="00B85463" w:rsidP="009A1FF7">
      <w:pPr>
        <w:pStyle w:val="Listenabsatz"/>
        <w:numPr>
          <w:ilvl w:val="0"/>
          <w:numId w:val="28"/>
        </w:numPr>
        <w:ind w:left="284" w:right="1134"/>
        <w:jc w:val="both"/>
        <w:rPr>
          <w:i/>
        </w:rPr>
      </w:pPr>
      <w:r>
        <w:t>Signa</w:t>
      </w:r>
      <w:r w:rsidR="00136A04">
        <w:t xml:space="preserve">l für die </w:t>
      </w:r>
      <w:r w:rsidR="005D31F9">
        <w:t>Weiterentwicklung des</w:t>
      </w:r>
      <w:r>
        <w:t xml:space="preserve"> Standortes</w:t>
      </w:r>
      <w:r w:rsidR="00136A04">
        <w:t xml:space="preserve"> Duisburg</w:t>
      </w:r>
    </w:p>
    <w:p w14:paraId="0061F105" w14:textId="77777777" w:rsidR="0099464B" w:rsidRPr="005B5183" w:rsidRDefault="000F3C8E" w:rsidP="009A1FF7">
      <w:pPr>
        <w:pStyle w:val="Listenabsatz"/>
        <w:numPr>
          <w:ilvl w:val="0"/>
          <w:numId w:val="28"/>
        </w:numPr>
        <w:ind w:left="284" w:right="1134"/>
        <w:jc w:val="both"/>
        <w:rPr>
          <w:i/>
        </w:rPr>
      </w:pPr>
      <w:r>
        <w:t>Gesamti</w:t>
      </w:r>
      <w:r w:rsidR="0099464B">
        <w:t xml:space="preserve">nvestition im </w:t>
      </w:r>
      <w:r>
        <w:t>hohen</w:t>
      </w:r>
      <w:r w:rsidR="0099464B">
        <w:t xml:space="preserve"> zweistelligen Millionenbereich</w:t>
      </w:r>
    </w:p>
    <w:p w14:paraId="4867FAD2" w14:textId="77777777" w:rsidR="00B252AA" w:rsidRPr="00B85463" w:rsidRDefault="00B252AA" w:rsidP="00B85463">
      <w:pPr>
        <w:ind w:left="-76" w:right="1134"/>
        <w:jc w:val="both"/>
        <w:rPr>
          <w:i/>
        </w:rPr>
      </w:pPr>
    </w:p>
    <w:p w14:paraId="580E385C" w14:textId="77777777" w:rsidR="0099464B" w:rsidRDefault="00B85463" w:rsidP="00867C14">
      <w:pPr>
        <w:ind w:right="1134"/>
        <w:jc w:val="both"/>
        <w:rPr>
          <w:color w:val="auto"/>
        </w:rPr>
      </w:pPr>
      <w:r>
        <w:rPr>
          <w:color w:val="auto"/>
        </w:rPr>
        <w:t xml:space="preserve">Nach </w:t>
      </w:r>
      <w:r w:rsidR="00976494">
        <w:rPr>
          <w:color w:val="auto"/>
        </w:rPr>
        <w:t xml:space="preserve">planmäßiger Bauzeit von einem </w:t>
      </w:r>
      <w:r>
        <w:rPr>
          <w:color w:val="auto"/>
        </w:rPr>
        <w:t xml:space="preserve">Jahr </w:t>
      </w:r>
      <w:r w:rsidR="00E45F48">
        <w:rPr>
          <w:color w:val="auto"/>
        </w:rPr>
        <w:t>ist es</w:t>
      </w:r>
      <w:r>
        <w:rPr>
          <w:color w:val="auto"/>
        </w:rPr>
        <w:t xml:space="preserve"> soweit: </w:t>
      </w:r>
      <w:r w:rsidR="0099464B">
        <w:rPr>
          <w:color w:val="auto"/>
        </w:rPr>
        <w:t xml:space="preserve">Im </w:t>
      </w:r>
      <w:r>
        <w:rPr>
          <w:color w:val="auto"/>
        </w:rPr>
        <w:t>neuen Pfannenofen von thyssenk</w:t>
      </w:r>
      <w:r w:rsidR="0099464B">
        <w:rPr>
          <w:color w:val="auto"/>
        </w:rPr>
        <w:t>r</w:t>
      </w:r>
      <w:r>
        <w:rPr>
          <w:color w:val="auto"/>
        </w:rPr>
        <w:t>upp Steel in Duisburg w</w:t>
      </w:r>
      <w:r w:rsidR="00E45F48">
        <w:rPr>
          <w:color w:val="auto"/>
        </w:rPr>
        <w:t>e</w:t>
      </w:r>
      <w:r>
        <w:rPr>
          <w:color w:val="auto"/>
        </w:rPr>
        <w:t xml:space="preserve">rden die ersten Schmelzen </w:t>
      </w:r>
      <w:r w:rsidR="004A22BD">
        <w:rPr>
          <w:color w:val="auto"/>
        </w:rPr>
        <w:t xml:space="preserve">erfolgreich </w:t>
      </w:r>
      <w:r w:rsidR="00E03A3B">
        <w:rPr>
          <w:color w:val="auto"/>
        </w:rPr>
        <w:t>behandelt</w:t>
      </w:r>
      <w:r>
        <w:rPr>
          <w:color w:val="auto"/>
        </w:rPr>
        <w:t xml:space="preserve">. </w:t>
      </w:r>
      <w:r w:rsidR="0099464B">
        <w:rPr>
          <w:color w:val="auto"/>
        </w:rPr>
        <w:t>Damit ist bei dieser strategisch bedeut</w:t>
      </w:r>
      <w:r w:rsidR="00136A04">
        <w:rPr>
          <w:color w:val="auto"/>
        </w:rPr>
        <w:t>enden</w:t>
      </w:r>
      <w:r w:rsidR="0099464B">
        <w:rPr>
          <w:color w:val="auto"/>
        </w:rPr>
        <w:t>, im Stahlwerksbereich angesiedelten Investition ein zentrale</w:t>
      </w:r>
      <w:r w:rsidR="004A22BD">
        <w:rPr>
          <w:color w:val="auto"/>
        </w:rPr>
        <w:t xml:space="preserve">r Meilenstein erreicht. Der neue Doppelpfannenofen verfügt über eine Kapazität von 265 Tonnen </w:t>
      </w:r>
      <w:r w:rsidR="00136A04">
        <w:rPr>
          <w:color w:val="auto"/>
        </w:rPr>
        <w:t>pro Schmelzvorgang</w:t>
      </w:r>
      <w:r w:rsidR="008B7A64">
        <w:rPr>
          <w:color w:val="auto"/>
        </w:rPr>
        <w:t xml:space="preserve">. Er </w:t>
      </w:r>
      <w:r w:rsidR="00136A04">
        <w:rPr>
          <w:color w:val="auto"/>
        </w:rPr>
        <w:t>dient dazu</w:t>
      </w:r>
      <w:r w:rsidR="00FD1E83">
        <w:rPr>
          <w:color w:val="auto"/>
        </w:rPr>
        <w:t>,</w:t>
      </w:r>
      <w:r w:rsidR="00136A04">
        <w:rPr>
          <w:color w:val="auto"/>
        </w:rPr>
        <w:t xml:space="preserve"> </w:t>
      </w:r>
      <w:r w:rsidR="008B7A64">
        <w:rPr>
          <w:color w:val="auto"/>
        </w:rPr>
        <w:t>hochlegierte Stahlgüten mit optimierten Reinheitsgraden in höchster Qualität herzustellen</w:t>
      </w:r>
      <w:r w:rsidR="00867C14">
        <w:rPr>
          <w:color w:val="auto"/>
        </w:rPr>
        <w:t xml:space="preserve">. „Der neue Pfannenofen wird </w:t>
      </w:r>
      <w:r w:rsidR="00F93621">
        <w:rPr>
          <w:color w:val="auto"/>
        </w:rPr>
        <w:t>uns helfen, unsere</w:t>
      </w:r>
      <w:r w:rsidR="00867C14">
        <w:rPr>
          <w:color w:val="auto"/>
        </w:rPr>
        <w:t xml:space="preserve"> Wettbewerbsposition dauerhaft zu verbessern“, betont Dr. Arnd Köfler, Produktionsvorstand bei thyssenkrupp Steel Europe. „Wir schließen mit der neuen Anlage eine Lücke in unserem Produktionsnetzwerk und </w:t>
      </w:r>
      <w:r w:rsidR="00F93621">
        <w:rPr>
          <w:color w:val="auto"/>
        </w:rPr>
        <w:t xml:space="preserve">stellen uns </w:t>
      </w:r>
      <w:r w:rsidR="00867C14">
        <w:rPr>
          <w:color w:val="auto"/>
        </w:rPr>
        <w:t xml:space="preserve">besonders bei Premiumgüten, wie sie </w:t>
      </w:r>
      <w:r w:rsidR="00F93621">
        <w:rPr>
          <w:color w:val="auto"/>
        </w:rPr>
        <w:t xml:space="preserve">beispielweise </w:t>
      </w:r>
      <w:r w:rsidR="00867C14">
        <w:rPr>
          <w:color w:val="auto"/>
        </w:rPr>
        <w:t xml:space="preserve">für höherfeste und sicherheitsrelevante Bauteile im Auto benötigt werden, </w:t>
      </w:r>
      <w:r w:rsidR="00F93621">
        <w:rPr>
          <w:color w:val="auto"/>
        </w:rPr>
        <w:t>noch einmal deutlich stärker auf</w:t>
      </w:r>
      <w:r w:rsidR="00867C14">
        <w:rPr>
          <w:color w:val="auto"/>
        </w:rPr>
        <w:t>.“</w:t>
      </w:r>
    </w:p>
    <w:p w14:paraId="34950321" w14:textId="77777777" w:rsidR="008B7A64" w:rsidRDefault="008B7A64" w:rsidP="00867C14">
      <w:pPr>
        <w:ind w:right="1134"/>
        <w:jc w:val="both"/>
        <w:rPr>
          <w:color w:val="auto"/>
        </w:rPr>
      </w:pPr>
    </w:p>
    <w:p w14:paraId="53A5DD6E" w14:textId="77777777" w:rsidR="008B7A64" w:rsidRPr="008B7A64" w:rsidRDefault="008B7A64" w:rsidP="009A1FF7">
      <w:pPr>
        <w:ind w:right="1134"/>
        <w:jc w:val="both"/>
        <w:rPr>
          <w:b/>
          <w:color w:val="auto"/>
        </w:rPr>
      </w:pPr>
      <w:r w:rsidRPr="008B7A64">
        <w:rPr>
          <w:b/>
          <w:color w:val="auto"/>
        </w:rPr>
        <w:t>Höhere Prozesseffizienz bei geringeren Kosten</w:t>
      </w:r>
    </w:p>
    <w:p w14:paraId="1D2CBA00" w14:textId="77777777" w:rsidR="00E03A3B" w:rsidRDefault="008B7A64" w:rsidP="009A1FF7">
      <w:pPr>
        <w:ind w:right="1134"/>
        <w:jc w:val="both"/>
        <w:rPr>
          <w:color w:val="auto"/>
        </w:rPr>
      </w:pPr>
      <w:r>
        <w:rPr>
          <w:color w:val="auto"/>
        </w:rPr>
        <w:t>Der Pf</w:t>
      </w:r>
      <w:r w:rsidR="00B11514">
        <w:rPr>
          <w:color w:val="auto"/>
        </w:rPr>
        <w:t>annenofen wurde im Oxygenstah</w:t>
      </w:r>
      <w:r w:rsidR="00E03A3B">
        <w:rPr>
          <w:color w:val="auto"/>
        </w:rPr>
        <w:t>l</w:t>
      </w:r>
      <w:r w:rsidR="00B11514">
        <w:rPr>
          <w:color w:val="auto"/>
        </w:rPr>
        <w:t xml:space="preserve">werk 2 von thyssenkrupp installiert und befindet sich im Produktionsprozess zwischen dem Konverter und </w:t>
      </w:r>
      <w:r w:rsidR="00E03A3B">
        <w:rPr>
          <w:color w:val="auto"/>
        </w:rPr>
        <w:t xml:space="preserve">der </w:t>
      </w:r>
      <w:r w:rsidR="00B11514">
        <w:rPr>
          <w:color w:val="auto"/>
        </w:rPr>
        <w:t>Strangießanlage</w:t>
      </w:r>
      <w:r w:rsidR="00E03A3B">
        <w:rPr>
          <w:color w:val="auto"/>
        </w:rPr>
        <w:t xml:space="preserve">. Das Aggregat wird im Rahmen der </w:t>
      </w:r>
      <w:r w:rsidR="00B11514">
        <w:rPr>
          <w:color w:val="auto"/>
        </w:rPr>
        <w:t>Sekundärmetallurgie</w:t>
      </w:r>
      <w:r w:rsidR="00E03A3B">
        <w:rPr>
          <w:color w:val="auto"/>
        </w:rPr>
        <w:t xml:space="preserve"> zunächst zum Legieren und Aufheizen der Schmelze sowie zur Entschwefelung </w:t>
      </w:r>
      <w:r w:rsidR="00F93621">
        <w:rPr>
          <w:color w:val="auto"/>
        </w:rPr>
        <w:t>benötigt</w:t>
      </w:r>
      <w:r w:rsidR="00C20B0A">
        <w:rPr>
          <w:color w:val="auto"/>
        </w:rPr>
        <w:t xml:space="preserve">. </w:t>
      </w:r>
      <w:r w:rsidR="00795CDC">
        <w:rPr>
          <w:color w:val="auto"/>
        </w:rPr>
        <w:t xml:space="preserve">„Wir haben mit dem Projekt Pfannenofen über diese Kernanforderungen </w:t>
      </w:r>
      <w:r w:rsidR="0016061A">
        <w:rPr>
          <w:color w:val="auto"/>
        </w:rPr>
        <w:t xml:space="preserve">hinaus </w:t>
      </w:r>
      <w:r w:rsidR="00795CDC">
        <w:rPr>
          <w:color w:val="auto"/>
        </w:rPr>
        <w:t>aber noch deutlich mehr erreicht“, erläutert Thorsten Brand, Leiter der Stahlproduktion bei thyssenkrupp Steel. „Die Anlage t</w:t>
      </w:r>
      <w:r w:rsidR="0016061A">
        <w:rPr>
          <w:color w:val="auto"/>
        </w:rPr>
        <w:t xml:space="preserve">rägt </w:t>
      </w:r>
      <w:r w:rsidR="00795CDC">
        <w:rPr>
          <w:color w:val="auto"/>
        </w:rPr>
        <w:t xml:space="preserve">auch zur Kostenoptimierung und Steigerung der Prozesseffizienz im gesamten Stahlwerk bei. So können wir </w:t>
      </w:r>
      <w:r w:rsidR="00781EB9">
        <w:rPr>
          <w:color w:val="auto"/>
        </w:rPr>
        <w:t xml:space="preserve">zukünftig </w:t>
      </w:r>
      <w:r w:rsidR="00795CDC">
        <w:rPr>
          <w:color w:val="auto"/>
        </w:rPr>
        <w:t xml:space="preserve">die Kosten im Konverterbetrieb senken, indem wir höhere Schrotteinsätze ermöglichen, also den Produktionsprozess </w:t>
      </w:r>
      <w:r w:rsidR="0016061A">
        <w:rPr>
          <w:color w:val="auto"/>
        </w:rPr>
        <w:t xml:space="preserve">kostenorientiert </w:t>
      </w:r>
      <w:r w:rsidR="00795CDC">
        <w:rPr>
          <w:color w:val="auto"/>
        </w:rPr>
        <w:t xml:space="preserve">flexibler machen. Da die Schmelze im Pfannenofen auf- bzw. nachgeheizt werden kann, sparen wir auch an der Feuerfestauskleidung im Konverter, weil wir die Abstichtemperatur absenken können. </w:t>
      </w:r>
      <w:r w:rsidR="0016061A">
        <w:rPr>
          <w:color w:val="auto"/>
        </w:rPr>
        <w:t xml:space="preserve">Aus demselben Grund sind wir in der Lage, die Nachblasquote </w:t>
      </w:r>
      <w:r w:rsidR="00F93621">
        <w:rPr>
          <w:color w:val="auto"/>
        </w:rPr>
        <w:t xml:space="preserve">im Konverter </w:t>
      </w:r>
      <w:r w:rsidR="0016061A">
        <w:rPr>
          <w:color w:val="auto"/>
        </w:rPr>
        <w:t xml:space="preserve">zu verringern. Schließlich werden wir unsere Direktabstichquote </w:t>
      </w:r>
      <w:r w:rsidR="0016061A">
        <w:rPr>
          <w:color w:val="auto"/>
        </w:rPr>
        <w:lastRenderedPageBreak/>
        <w:t>steigern können, weil es nun möglich ist, über digital vernetzte Daten die Schmelzen im Pfannenofen gezielt nachzujustieren</w:t>
      </w:r>
      <w:r w:rsidR="00F93621">
        <w:rPr>
          <w:color w:val="auto"/>
        </w:rPr>
        <w:t>.</w:t>
      </w:r>
      <w:r w:rsidR="00C94D07">
        <w:rPr>
          <w:color w:val="auto"/>
        </w:rPr>
        <w:t xml:space="preserve"> In Summe stellt das Projekt eine</w:t>
      </w:r>
      <w:r w:rsidR="00781EB9">
        <w:rPr>
          <w:color w:val="auto"/>
        </w:rPr>
        <w:t xml:space="preserve"> kostenoptimierte und</w:t>
      </w:r>
      <w:r w:rsidR="00C94D07">
        <w:rPr>
          <w:color w:val="auto"/>
        </w:rPr>
        <w:t xml:space="preserve"> </w:t>
      </w:r>
      <w:r w:rsidR="00FD1E83">
        <w:rPr>
          <w:color w:val="auto"/>
        </w:rPr>
        <w:t xml:space="preserve">technologische Fortentwicklung </w:t>
      </w:r>
      <w:r w:rsidR="00C94D07">
        <w:rPr>
          <w:color w:val="auto"/>
        </w:rPr>
        <w:t>für das ganze Stahlwerk dar“, resümiert Brand.</w:t>
      </w:r>
    </w:p>
    <w:p w14:paraId="57E86133" w14:textId="77777777" w:rsidR="00E45F48" w:rsidRDefault="00E45F48" w:rsidP="009A1FF7">
      <w:pPr>
        <w:ind w:right="1134"/>
        <w:jc w:val="both"/>
        <w:rPr>
          <w:color w:val="auto"/>
        </w:rPr>
      </w:pPr>
    </w:p>
    <w:p w14:paraId="08E5BB25" w14:textId="77777777" w:rsidR="00E45F48" w:rsidRDefault="00E45F48" w:rsidP="009A1FF7">
      <w:pPr>
        <w:ind w:right="1134"/>
        <w:jc w:val="both"/>
        <w:rPr>
          <w:b/>
          <w:color w:val="auto"/>
        </w:rPr>
      </w:pPr>
      <w:r w:rsidRPr="00E45F48">
        <w:rPr>
          <w:b/>
          <w:color w:val="auto"/>
        </w:rPr>
        <w:t>Erfolgreiche Projektpartnerschaft mit Anlagenbauer I</w:t>
      </w:r>
      <w:r w:rsidR="002704D2">
        <w:rPr>
          <w:b/>
          <w:color w:val="auto"/>
        </w:rPr>
        <w:t>NTECO</w:t>
      </w:r>
    </w:p>
    <w:p w14:paraId="70493735" w14:textId="77777777" w:rsidR="00F93621" w:rsidRPr="00E45F48" w:rsidRDefault="00E45F48" w:rsidP="009A1FF7">
      <w:pPr>
        <w:ind w:right="1134"/>
        <w:jc w:val="both"/>
        <w:rPr>
          <w:color w:val="auto"/>
        </w:rPr>
      </w:pPr>
      <w:r>
        <w:rPr>
          <w:color w:val="auto"/>
        </w:rPr>
        <w:t>Der Auftrag zum Bau des Pfannenofens wurde von thyssenkrupp an den</w:t>
      </w:r>
      <w:r w:rsidR="00FD1E83">
        <w:rPr>
          <w:color w:val="auto"/>
        </w:rPr>
        <w:t xml:space="preserve"> österreichischen</w:t>
      </w:r>
      <w:r w:rsidR="00F93621">
        <w:rPr>
          <w:color w:val="auto"/>
        </w:rPr>
        <w:t xml:space="preserve"> Anlagenbauer INTECO</w:t>
      </w:r>
      <w:r>
        <w:rPr>
          <w:color w:val="auto"/>
        </w:rPr>
        <w:t xml:space="preserve"> vergeben, der als Gener</w:t>
      </w:r>
      <w:r w:rsidR="00E2330C">
        <w:rPr>
          <w:color w:val="auto"/>
        </w:rPr>
        <w:t>alunternehmer die Anlage schlüsselfertig übergeben wird. Dr. Harald Holzgruber, CEO der INTECO Gruppe: „In unserer 45-jährigen Firmengeschichte markiert diese</w:t>
      </w:r>
      <w:r w:rsidR="0011582A">
        <w:rPr>
          <w:color w:val="auto"/>
        </w:rPr>
        <w:t xml:space="preserve">r Auftrag einen </w:t>
      </w:r>
      <w:r w:rsidR="00E2330C">
        <w:rPr>
          <w:color w:val="auto"/>
        </w:rPr>
        <w:t xml:space="preserve">Meilenstein. Wir sind stolz, </w:t>
      </w:r>
      <w:r w:rsidR="0011582A">
        <w:rPr>
          <w:color w:val="auto"/>
        </w:rPr>
        <w:t xml:space="preserve">dass wir </w:t>
      </w:r>
      <w:r w:rsidR="00E2330C">
        <w:rPr>
          <w:color w:val="auto"/>
        </w:rPr>
        <w:t>dieses Projekt gemeinsam mit unsere</w:t>
      </w:r>
      <w:r w:rsidR="0011582A">
        <w:rPr>
          <w:color w:val="auto"/>
        </w:rPr>
        <w:t>n</w:t>
      </w:r>
      <w:r w:rsidR="00E2330C">
        <w:rPr>
          <w:color w:val="auto"/>
        </w:rPr>
        <w:t xml:space="preserve"> Partner</w:t>
      </w:r>
      <w:r w:rsidR="0011582A">
        <w:rPr>
          <w:color w:val="auto"/>
        </w:rPr>
        <w:t>n</w:t>
      </w:r>
      <w:r w:rsidR="00E2330C">
        <w:rPr>
          <w:color w:val="auto"/>
        </w:rPr>
        <w:t xml:space="preserve"> von thyssenkrupp erfolgreich und </w:t>
      </w:r>
      <w:r w:rsidR="0011582A">
        <w:rPr>
          <w:color w:val="auto"/>
        </w:rPr>
        <w:t>voll im Zeitplan durchführen konnten. Die Anlage ist mit sämtlichen technischen Innovationen ausgestattet, die</w:t>
      </w:r>
      <w:r w:rsidR="00F93621">
        <w:rPr>
          <w:color w:val="auto"/>
        </w:rPr>
        <w:t xml:space="preserve"> geeignet sind, </w:t>
      </w:r>
      <w:r w:rsidR="0011582A">
        <w:rPr>
          <w:color w:val="auto"/>
        </w:rPr>
        <w:t xml:space="preserve">thyssenkrupp im Wettbewerb </w:t>
      </w:r>
      <w:r w:rsidR="00F93621">
        <w:rPr>
          <w:color w:val="auto"/>
        </w:rPr>
        <w:t>zu unterstützen</w:t>
      </w:r>
      <w:r w:rsidR="0011582A">
        <w:rPr>
          <w:color w:val="auto"/>
        </w:rPr>
        <w:t>.</w:t>
      </w:r>
      <w:r w:rsidR="004C549A">
        <w:rPr>
          <w:color w:val="auto"/>
        </w:rPr>
        <w:t xml:space="preserve"> </w:t>
      </w:r>
      <w:r w:rsidR="0011582A">
        <w:rPr>
          <w:color w:val="auto"/>
        </w:rPr>
        <w:t xml:space="preserve">Darüber hinaus wurde der Pfannenofen, um die Arbeitsbedingungen weiter zu verbessern, aus Schallschutzgründen komplett mit Lärmschutzpaneelen eingehaust.“ </w:t>
      </w:r>
      <w:r w:rsidR="00F93621">
        <w:rPr>
          <w:color w:val="auto"/>
        </w:rPr>
        <w:t xml:space="preserve">In den kommenden Wochen wird der neue Pfannenofen </w:t>
      </w:r>
      <w:r w:rsidR="00C94D07">
        <w:rPr>
          <w:color w:val="auto"/>
        </w:rPr>
        <w:t>gezielt getestet und im Rahmen von Probeschmelzen umfassend analysiert und auf seine Funktionalitäten geprüft. Anschließend geht die Anlage dann auch offiziell in die Verantwortung von thyssenkrupp über.</w:t>
      </w:r>
    </w:p>
    <w:p w14:paraId="43D7D202" w14:textId="77777777" w:rsidR="00E03A3B" w:rsidRDefault="00E03A3B" w:rsidP="009A1FF7">
      <w:pPr>
        <w:ind w:right="1134"/>
        <w:jc w:val="both"/>
        <w:rPr>
          <w:color w:val="auto"/>
        </w:rPr>
      </w:pPr>
    </w:p>
    <w:p w14:paraId="49A063FA" w14:textId="77777777" w:rsidR="009660D1" w:rsidRPr="009A1FF7" w:rsidRDefault="009660D1" w:rsidP="008E3386">
      <w:pPr>
        <w:ind w:right="1151"/>
        <w:jc w:val="both"/>
        <w:rPr>
          <w:szCs w:val="20"/>
        </w:rPr>
      </w:pPr>
    </w:p>
    <w:p w14:paraId="29285213" w14:textId="77777777" w:rsidR="007A618F" w:rsidRPr="009A1FF7" w:rsidRDefault="007A618F" w:rsidP="009A1FF7">
      <w:pPr>
        <w:ind w:right="1134"/>
        <w:jc w:val="both"/>
        <w:rPr>
          <w:szCs w:val="20"/>
        </w:rPr>
      </w:pPr>
    </w:p>
    <w:p w14:paraId="0AE17E18" w14:textId="77777777" w:rsidR="006A2F38" w:rsidRDefault="00EE4A53" w:rsidP="009A1FF7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07AF145F" w14:textId="77777777" w:rsidR="00EE4A53" w:rsidRPr="00EE4A53" w:rsidRDefault="00EE4A53" w:rsidP="009A1FF7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62AD3615" w14:textId="77777777" w:rsidR="00821191" w:rsidRDefault="00821191" w:rsidP="009A1FF7">
      <w:pPr>
        <w:spacing w:line="288" w:lineRule="auto"/>
        <w:jc w:val="both"/>
        <w:rPr>
          <w:szCs w:val="20"/>
        </w:rPr>
      </w:pPr>
      <w:r>
        <w:rPr>
          <w:szCs w:val="20"/>
        </w:rPr>
        <w:t>Mark Stagge</w:t>
      </w:r>
    </w:p>
    <w:p w14:paraId="2A00BEF6" w14:textId="77777777" w:rsidR="00DE2408" w:rsidRPr="000F3C8E" w:rsidRDefault="00821191" w:rsidP="009A1FF7">
      <w:pPr>
        <w:spacing w:line="288" w:lineRule="auto"/>
        <w:jc w:val="both"/>
        <w:rPr>
          <w:szCs w:val="20"/>
          <w:lang w:val="en-US"/>
        </w:rPr>
      </w:pPr>
      <w:r w:rsidRPr="000F3C8E">
        <w:rPr>
          <w:szCs w:val="20"/>
          <w:lang w:val="en-US"/>
        </w:rPr>
        <w:t xml:space="preserve">Head of </w:t>
      </w:r>
      <w:r w:rsidR="00DE2408" w:rsidRPr="000F3C8E">
        <w:rPr>
          <w:szCs w:val="20"/>
          <w:lang w:val="en-US"/>
        </w:rPr>
        <w:t>External Communication</w:t>
      </w:r>
      <w:r w:rsidR="003F1CCB" w:rsidRPr="000F3C8E">
        <w:rPr>
          <w:szCs w:val="20"/>
          <w:lang w:val="en-US"/>
        </w:rPr>
        <w:t>s</w:t>
      </w:r>
    </w:p>
    <w:p w14:paraId="79AABC74" w14:textId="77777777" w:rsidR="00EE4A53" w:rsidRPr="000F3C8E" w:rsidRDefault="00EE4A53" w:rsidP="009A1FF7">
      <w:pPr>
        <w:spacing w:line="288" w:lineRule="auto"/>
        <w:jc w:val="both"/>
        <w:rPr>
          <w:szCs w:val="20"/>
          <w:lang w:val="en-US"/>
        </w:rPr>
      </w:pPr>
      <w:r w:rsidRPr="000F3C8E">
        <w:rPr>
          <w:szCs w:val="20"/>
          <w:lang w:val="en-US"/>
        </w:rPr>
        <w:t>T: +49 203 52</w:t>
      </w:r>
      <w:r w:rsidRPr="000F3C8E">
        <w:rPr>
          <w:rFonts w:ascii="Arial" w:hAnsi="Arial" w:cs="Arial"/>
          <w:szCs w:val="20"/>
          <w:lang w:val="en-US"/>
        </w:rPr>
        <w:t> </w:t>
      </w:r>
      <w:r w:rsidRPr="000F3C8E">
        <w:rPr>
          <w:szCs w:val="20"/>
          <w:lang w:val="en-US"/>
        </w:rPr>
        <w:t>-</w:t>
      </w:r>
      <w:r w:rsidRPr="000F3C8E">
        <w:rPr>
          <w:rFonts w:ascii="Arial" w:hAnsi="Arial" w:cs="Arial"/>
          <w:szCs w:val="20"/>
          <w:lang w:val="en-US"/>
        </w:rPr>
        <w:t> </w:t>
      </w:r>
      <w:r w:rsidR="00DE2408" w:rsidRPr="000F3C8E">
        <w:rPr>
          <w:szCs w:val="20"/>
          <w:lang w:val="en-US"/>
        </w:rPr>
        <w:t>2</w:t>
      </w:r>
      <w:r w:rsidR="00821191" w:rsidRPr="000F3C8E">
        <w:rPr>
          <w:szCs w:val="20"/>
          <w:lang w:val="en-US"/>
        </w:rPr>
        <w:t>5159</w:t>
      </w:r>
      <w:r w:rsidR="00DE2408" w:rsidRPr="000F3C8E">
        <w:rPr>
          <w:szCs w:val="20"/>
          <w:lang w:val="en-US"/>
        </w:rPr>
        <w:t xml:space="preserve"> </w:t>
      </w:r>
    </w:p>
    <w:p w14:paraId="260CAD39" w14:textId="77777777" w:rsidR="00EE4A53" w:rsidRPr="00821191" w:rsidRDefault="00C758BB" w:rsidP="009A1FF7">
      <w:pPr>
        <w:spacing w:line="288" w:lineRule="auto"/>
        <w:jc w:val="both"/>
        <w:rPr>
          <w:szCs w:val="20"/>
          <w:lang w:val="en-US"/>
        </w:rPr>
      </w:pPr>
      <w:hyperlink r:id="rId8" w:history="1">
        <w:r w:rsidR="00821191" w:rsidRPr="008B0C80">
          <w:rPr>
            <w:rStyle w:val="Hyperlink"/>
            <w:szCs w:val="20"/>
            <w:lang w:val="en-US"/>
          </w:rPr>
          <w:t>mark.stagge@thyssenkrupp.com</w:t>
        </w:r>
      </w:hyperlink>
    </w:p>
    <w:sectPr w:rsidR="00EE4A53" w:rsidRPr="00821191" w:rsidSect="001513DD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 w:code="9"/>
      <w:pgMar w:top="2778" w:right="2834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C80C8" w14:textId="77777777" w:rsidR="006D16F0" w:rsidRDefault="006D16F0" w:rsidP="005B5ABA">
      <w:pPr>
        <w:spacing w:line="240" w:lineRule="auto"/>
      </w:pPr>
      <w:r>
        <w:separator/>
      </w:r>
    </w:p>
  </w:endnote>
  <w:endnote w:type="continuationSeparator" w:id="0">
    <w:p w14:paraId="0973F6A1" w14:textId="77777777" w:rsidR="006D16F0" w:rsidRDefault="006D16F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8BD9D" w14:textId="77777777" w:rsidR="00976494" w:rsidRDefault="00976494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EEF0BAC" wp14:editId="439F9FD9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414835" w14:textId="77777777" w:rsidR="00976494" w:rsidRPr="00017C1F" w:rsidRDefault="00976494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467BFF88" w14:textId="77777777" w:rsidR="00976494" w:rsidRDefault="00976494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Guido Kerkhoff</w:t>
                          </w:r>
                        </w:p>
                        <w:p w14:paraId="1E06DBED" w14:textId="77777777" w:rsidR="00976494" w:rsidRPr="00017C1F" w:rsidRDefault="00976494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</w:t>
                          </w:r>
                        </w:p>
                        <w:p w14:paraId="082FCC92" w14:textId="77777777" w:rsidR="00976494" w:rsidRPr="00017C1F" w:rsidRDefault="00976494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14:paraId="2CC7BCBB" w14:textId="77777777" w:rsidR="00976494" w:rsidRPr="00AF75F1" w:rsidRDefault="00976494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0BAC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3F414835" w14:textId="77777777" w:rsidR="00976494" w:rsidRPr="00017C1F" w:rsidRDefault="00976494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467BFF88" w14:textId="77777777" w:rsidR="00976494" w:rsidRDefault="00976494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Guido Kerkhoff</w:t>
                    </w:r>
                  </w:p>
                  <w:p w14:paraId="1E06DBED" w14:textId="77777777" w:rsidR="00976494" w:rsidRPr="00017C1F" w:rsidRDefault="00976494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</w:t>
                    </w:r>
                  </w:p>
                  <w:p w14:paraId="082FCC92" w14:textId="77777777" w:rsidR="00976494" w:rsidRPr="00017C1F" w:rsidRDefault="00976494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14:paraId="2CC7BCBB" w14:textId="77777777" w:rsidR="00976494" w:rsidRPr="00AF75F1" w:rsidRDefault="00976494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BEB0" w14:textId="77777777" w:rsidR="00976494" w:rsidRDefault="00976494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94361A4" wp14:editId="1905AA0C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4104B1" w14:textId="77777777" w:rsidR="00976494" w:rsidRPr="00017C1F" w:rsidRDefault="00976494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7E5DDF3A" w14:textId="77777777" w:rsidR="00976494" w:rsidRDefault="00976494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Guido Kerkhoff</w:t>
                          </w:r>
                        </w:p>
                        <w:p w14:paraId="7249A79B" w14:textId="77777777" w:rsidR="00976494" w:rsidRPr="00017C1F" w:rsidRDefault="00976494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</w:t>
                          </w:r>
                        </w:p>
                        <w:p w14:paraId="0EAFE91C" w14:textId="77777777" w:rsidR="00976494" w:rsidRPr="00017C1F" w:rsidRDefault="00976494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14:paraId="0D8E9E22" w14:textId="77777777" w:rsidR="00976494" w:rsidRPr="00AF75F1" w:rsidRDefault="00976494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4361A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694104B1" w14:textId="77777777" w:rsidR="00976494" w:rsidRPr="00017C1F" w:rsidRDefault="00976494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7E5DDF3A" w14:textId="77777777" w:rsidR="00976494" w:rsidRDefault="00976494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Guido Kerkhoff</w:t>
                    </w:r>
                  </w:p>
                  <w:p w14:paraId="7249A79B" w14:textId="77777777" w:rsidR="00976494" w:rsidRPr="00017C1F" w:rsidRDefault="00976494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</w:t>
                    </w:r>
                  </w:p>
                  <w:p w14:paraId="0EAFE91C" w14:textId="77777777" w:rsidR="00976494" w:rsidRPr="00017C1F" w:rsidRDefault="00976494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14:paraId="0D8E9E22" w14:textId="77777777" w:rsidR="00976494" w:rsidRPr="00AF75F1" w:rsidRDefault="00976494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B048" w14:textId="77777777" w:rsidR="006D16F0" w:rsidRDefault="006D16F0" w:rsidP="005B5ABA">
      <w:pPr>
        <w:spacing w:line="240" w:lineRule="auto"/>
      </w:pPr>
      <w:r>
        <w:separator/>
      </w:r>
    </w:p>
  </w:footnote>
  <w:footnote w:type="continuationSeparator" w:id="0">
    <w:p w14:paraId="00F410E2" w14:textId="77777777" w:rsidR="006D16F0" w:rsidRDefault="006D16F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E6C7E" w14:textId="77777777" w:rsidR="00976494" w:rsidRDefault="00976494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42FFF74C" wp14:editId="70BF0389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F7924F" wp14:editId="36B4BE23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93D31" w14:textId="70248622" w:rsidR="00976494" w:rsidRPr="001E7E0A" w:rsidRDefault="00976494" w:rsidP="001E7E0A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758BB">
                            <w:rPr>
                              <w:noProof/>
                            </w:rPr>
                            <w:t>08.11.2018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F8D486F" w14:textId="35736C88" w:rsidR="00976494" w:rsidRDefault="00976494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758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5B312E">
                            <w:rPr>
                              <w:noProof/>
                            </w:rPr>
                            <w:fldChar w:fldCharType="begin"/>
                          </w:r>
                          <w:r w:rsidR="005B312E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5B312E">
                            <w:rPr>
                              <w:noProof/>
                            </w:rPr>
                            <w:fldChar w:fldCharType="separate"/>
                          </w:r>
                          <w:r w:rsidR="00C758BB">
                            <w:rPr>
                              <w:noProof/>
                            </w:rPr>
                            <w:t>2</w:t>
                          </w:r>
                          <w:r w:rsidR="005B312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F7924F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09593D31" w14:textId="70248622" w:rsidR="00976494" w:rsidRPr="001E7E0A" w:rsidRDefault="00976494" w:rsidP="001E7E0A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758BB">
                      <w:rPr>
                        <w:noProof/>
                      </w:rPr>
                      <w:t>08.11.2018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3F8D486F" w14:textId="35736C88" w:rsidR="00976494" w:rsidRDefault="00976494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758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5B312E">
                      <w:rPr>
                        <w:noProof/>
                      </w:rPr>
                      <w:fldChar w:fldCharType="begin"/>
                    </w:r>
                    <w:r w:rsidR="005B312E">
                      <w:rPr>
                        <w:noProof/>
                      </w:rPr>
                      <w:instrText xml:space="preserve"> NUMPAGES   \* MERGEFORMAT </w:instrText>
                    </w:r>
                    <w:r w:rsidR="005B312E">
                      <w:rPr>
                        <w:noProof/>
                      </w:rPr>
                      <w:fldChar w:fldCharType="separate"/>
                    </w:r>
                    <w:r w:rsidR="00C758BB">
                      <w:rPr>
                        <w:noProof/>
                      </w:rPr>
                      <w:t>2</w:t>
                    </w:r>
                    <w:r w:rsidR="005B312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042F" w14:textId="77777777" w:rsidR="00976494" w:rsidRDefault="009764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DC423EB" wp14:editId="48A2D14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Pressemitteilung</w:t>
    </w:r>
    <w:r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95pt;height:2.95pt" o:bullet="t">
        <v:imagedata r:id="rId1" o:title="Bullet_blau_RGB_klein"/>
      </v:shape>
    </w:pict>
  </w:numPicBullet>
  <w:numPicBullet w:numPicBulletId="1">
    <w:pict>
      <v:shape id="_x0000_i1027" type="#_x0000_t75" style="width:2.95pt;height:2.95pt" o:bullet="t">
        <v:imagedata r:id="rId2" o:title="Bullet_blau_RGB_mittelklein_02"/>
      </v:shape>
    </w:pict>
  </w:numPicBullet>
  <w:abstractNum w:abstractNumId="0" w15:restartNumberingAfterBreak="0">
    <w:nsid w:val="050A75C2"/>
    <w:multiLevelType w:val="hybridMultilevel"/>
    <w:tmpl w:val="B5DAD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F2A37"/>
    <w:multiLevelType w:val="hybridMultilevel"/>
    <w:tmpl w:val="EB142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8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7"/>
  </w:num>
  <w:num w:numId="5">
    <w:abstractNumId w:val="13"/>
  </w:num>
  <w:num w:numId="6">
    <w:abstractNumId w:val="7"/>
  </w:num>
  <w:num w:numId="7">
    <w:abstractNumId w:val="13"/>
  </w:num>
  <w:num w:numId="8">
    <w:abstractNumId w:val="14"/>
  </w:num>
  <w:num w:numId="9">
    <w:abstractNumId w:val="13"/>
  </w:num>
  <w:num w:numId="10">
    <w:abstractNumId w:val="13"/>
  </w:num>
  <w:num w:numId="11">
    <w:abstractNumId w:val="19"/>
  </w:num>
  <w:num w:numId="12">
    <w:abstractNumId w:val="19"/>
  </w:num>
  <w:num w:numId="13">
    <w:abstractNumId w:val="19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0"/>
  </w:num>
  <w:num w:numId="21">
    <w:abstractNumId w:val="6"/>
  </w:num>
  <w:num w:numId="22">
    <w:abstractNumId w:val="1"/>
  </w:num>
  <w:num w:numId="23">
    <w:abstractNumId w:val="9"/>
  </w:num>
  <w:num w:numId="24">
    <w:abstractNumId w:val="5"/>
  </w:num>
  <w:num w:numId="25">
    <w:abstractNumId w:val="12"/>
  </w:num>
  <w:num w:numId="26">
    <w:abstractNumId w:val="15"/>
  </w:num>
  <w:num w:numId="27">
    <w:abstractNumId w:val="20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04B2B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E146B"/>
    <w:rsid w:val="000E478B"/>
    <w:rsid w:val="000F3C8E"/>
    <w:rsid w:val="000F62A0"/>
    <w:rsid w:val="00102C50"/>
    <w:rsid w:val="0011582A"/>
    <w:rsid w:val="001306E1"/>
    <w:rsid w:val="00133870"/>
    <w:rsid w:val="001364F9"/>
    <w:rsid w:val="00136A04"/>
    <w:rsid w:val="00137A1B"/>
    <w:rsid w:val="00142A34"/>
    <w:rsid w:val="0014474F"/>
    <w:rsid w:val="001451D3"/>
    <w:rsid w:val="00146600"/>
    <w:rsid w:val="001474B1"/>
    <w:rsid w:val="001513DD"/>
    <w:rsid w:val="001553C0"/>
    <w:rsid w:val="0016061A"/>
    <w:rsid w:val="001624F6"/>
    <w:rsid w:val="00162A87"/>
    <w:rsid w:val="00165354"/>
    <w:rsid w:val="00166977"/>
    <w:rsid w:val="00174160"/>
    <w:rsid w:val="0017592A"/>
    <w:rsid w:val="001769C1"/>
    <w:rsid w:val="00185574"/>
    <w:rsid w:val="001861FA"/>
    <w:rsid w:val="001905BF"/>
    <w:rsid w:val="001916A6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D3510"/>
    <w:rsid w:val="001D65E1"/>
    <w:rsid w:val="001E125C"/>
    <w:rsid w:val="001E36C6"/>
    <w:rsid w:val="001E7E0A"/>
    <w:rsid w:val="001F2570"/>
    <w:rsid w:val="002030D0"/>
    <w:rsid w:val="002054F6"/>
    <w:rsid w:val="0020624E"/>
    <w:rsid w:val="00213738"/>
    <w:rsid w:val="00214D05"/>
    <w:rsid w:val="00215965"/>
    <w:rsid w:val="002164F8"/>
    <w:rsid w:val="00224B29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04D2"/>
    <w:rsid w:val="00275D79"/>
    <w:rsid w:val="00277B27"/>
    <w:rsid w:val="00285124"/>
    <w:rsid w:val="00293FBF"/>
    <w:rsid w:val="00297160"/>
    <w:rsid w:val="00297DC4"/>
    <w:rsid w:val="002A0F45"/>
    <w:rsid w:val="002A3A5A"/>
    <w:rsid w:val="002A46D3"/>
    <w:rsid w:val="002B1779"/>
    <w:rsid w:val="002B7530"/>
    <w:rsid w:val="002C0A5C"/>
    <w:rsid w:val="002C62A1"/>
    <w:rsid w:val="002D1B27"/>
    <w:rsid w:val="002E2CC9"/>
    <w:rsid w:val="002E3C86"/>
    <w:rsid w:val="002E491B"/>
    <w:rsid w:val="002F52AB"/>
    <w:rsid w:val="00304A38"/>
    <w:rsid w:val="00311793"/>
    <w:rsid w:val="00315E81"/>
    <w:rsid w:val="003176DB"/>
    <w:rsid w:val="00323E6F"/>
    <w:rsid w:val="00327CA2"/>
    <w:rsid w:val="00330565"/>
    <w:rsid w:val="00330DDF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38C1"/>
    <w:rsid w:val="00413C77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5A26"/>
    <w:rsid w:val="0049723B"/>
    <w:rsid w:val="004A22BD"/>
    <w:rsid w:val="004A7237"/>
    <w:rsid w:val="004B4F01"/>
    <w:rsid w:val="004C1133"/>
    <w:rsid w:val="004C1E18"/>
    <w:rsid w:val="004C3FF9"/>
    <w:rsid w:val="004C43B9"/>
    <w:rsid w:val="004C549A"/>
    <w:rsid w:val="004D1918"/>
    <w:rsid w:val="004D4076"/>
    <w:rsid w:val="004D4520"/>
    <w:rsid w:val="004D47DE"/>
    <w:rsid w:val="004E1549"/>
    <w:rsid w:val="004F3F4D"/>
    <w:rsid w:val="004F603C"/>
    <w:rsid w:val="005028EC"/>
    <w:rsid w:val="005028FA"/>
    <w:rsid w:val="00502CE9"/>
    <w:rsid w:val="00504FD0"/>
    <w:rsid w:val="0050798B"/>
    <w:rsid w:val="005141A7"/>
    <w:rsid w:val="00514B51"/>
    <w:rsid w:val="00515661"/>
    <w:rsid w:val="005159E6"/>
    <w:rsid w:val="0052525E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76ECD"/>
    <w:rsid w:val="00584019"/>
    <w:rsid w:val="00584295"/>
    <w:rsid w:val="005851CA"/>
    <w:rsid w:val="00585C45"/>
    <w:rsid w:val="00593146"/>
    <w:rsid w:val="00593D54"/>
    <w:rsid w:val="0059570E"/>
    <w:rsid w:val="005A1A95"/>
    <w:rsid w:val="005A1EF6"/>
    <w:rsid w:val="005A5767"/>
    <w:rsid w:val="005B312E"/>
    <w:rsid w:val="005B5183"/>
    <w:rsid w:val="005B5ABA"/>
    <w:rsid w:val="005B7322"/>
    <w:rsid w:val="005C5006"/>
    <w:rsid w:val="005C6FEF"/>
    <w:rsid w:val="005D31F9"/>
    <w:rsid w:val="005D60CE"/>
    <w:rsid w:val="005E37C2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119"/>
    <w:rsid w:val="00632A81"/>
    <w:rsid w:val="0063584E"/>
    <w:rsid w:val="006366E0"/>
    <w:rsid w:val="006550EA"/>
    <w:rsid w:val="00660C5E"/>
    <w:rsid w:val="00681BAF"/>
    <w:rsid w:val="006870AC"/>
    <w:rsid w:val="00690122"/>
    <w:rsid w:val="00692D5F"/>
    <w:rsid w:val="0069533D"/>
    <w:rsid w:val="006977CF"/>
    <w:rsid w:val="006A2F38"/>
    <w:rsid w:val="006C070F"/>
    <w:rsid w:val="006C1FC9"/>
    <w:rsid w:val="006C4DE2"/>
    <w:rsid w:val="006C6040"/>
    <w:rsid w:val="006D16F0"/>
    <w:rsid w:val="006D2BC1"/>
    <w:rsid w:val="006D76F9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1EB9"/>
    <w:rsid w:val="00782FD3"/>
    <w:rsid w:val="00783965"/>
    <w:rsid w:val="00785030"/>
    <w:rsid w:val="00787F97"/>
    <w:rsid w:val="00795CDC"/>
    <w:rsid w:val="007A618F"/>
    <w:rsid w:val="007B21C7"/>
    <w:rsid w:val="007B22E5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5378"/>
    <w:rsid w:val="00817BA6"/>
    <w:rsid w:val="00821191"/>
    <w:rsid w:val="008229FE"/>
    <w:rsid w:val="0082487B"/>
    <w:rsid w:val="0083279D"/>
    <w:rsid w:val="00841D01"/>
    <w:rsid w:val="00855504"/>
    <w:rsid w:val="008557F5"/>
    <w:rsid w:val="0085632E"/>
    <w:rsid w:val="00862A37"/>
    <w:rsid w:val="0086342B"/>
    <w:rsid w:val="0086617F"/>
    <w:rsid w:val="00867C14"/>
    <w:rsid w:val="00874877"/>
    <w:rsid w:val="0087668E"/>
    <w:rsid w:val="008866DA"/>
    <w:rsid w:val="008948E6"/>
    <w:rsid w:val="008A5501"/>
    <w:rsid w:val="008A7BF0"/>
    <w:rsid w:val="008B106A"/>
    <w:rsid w:val="008B3481"/>
    <w:rsid w:val="008B6309"/>
    <w:rsid w:val="008B7A64"/>
    <w:rsid w:val="008C4331"/>
    <w:rsid w:val="008C64FF"/>
    <w:rsid w:val="008D03CC"/>
    <w:rsid w:val="008D1C62"/>
    <w:rsid w:val="008D3DFA"/>
    <w:rsid w:val="008E3386"/>
    <w:rsid w:val="008E6AF9"/>
    <w:rsid w:val="008E7176"/>
    <w:rsid w:val="008F1C7C"/>
    <w:rsid w:val="008F2FF4"/>
    <w:rsid w:val="00905E94"/>
    <w:rsid w:val="00910125"/>
    <w:rsid w:val="009110E9"/>
    <w:rsid w:val="00917B9E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65B28"/>
    <w:rsid w:val="009660D1"/>
    <w:rsid w:val="00976494"/>
    <w:rsid w:val="009772C9"/>
    <w:rsid w:val="0098312D"/>
    <w:rsid w:val="00986AB1"/>
    <w:rsid w:val="0099464B"/>
    <w:rsid w:val="0099520D"/>
    <w:rsid w:val="009A1FF7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3321D"/>
    <w:rsid w:val="00A372DA"/>
    <w:rsid w:val="00A40243"/>
    <w:rsid w:val="00A429FE"/>
    <w:rsid w:val="00A45874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A58A0"/>
    <w:rsid w:val="00AB24AF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1514"/>
    <w:rsid w:val="00B147E8"/>
    <w:rsid w:val="00B20F38"/>
    <w:rsid w:val="00B252AA"/>
    <w:rsid w:val="00B304A9"/>
    <w:rsid w:val="00B536F1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463"/>
    <w:rsid w:val="00B85819"/>
    <w:rsid w:val="00B87538"/>
    <w:rsid w:val="00B87D83"/>
    <w:rsid w:val="00B9508B"/>
    <w:rsid w:val="00B97794"/>
    <w:rsid w:val="00B97E56"/>
    <w:rsid w:val="00BB0E3E"/>
    <w:rsid w:val="00BC231C"/>
    <w:rsid w:val="00BC760A"/>
    <w:rsid w:val="00BD0883"/>
    <w:rsid w:val="00BD3EE5"/>
    <w:rsid w:val="00BD4078"/>
    <w:rsid w:val="00BD5051"/>
    <w:rsid w:val="00C01794"/>
    <w:rsid w:val="00C01A47"/>
    <w:rsid w:val="00C07A8B"/>
    <w:rsid w:val="00C124EF"/>
    <w:rsid w:val="00C20B0A"/>
    <w:rsid w:val="00C30C7B"/>
    <w:rsid w:val="00C3733B"/>
    <w:rsid w:val="00C444D8"/>
    <w:rsid w:val="00C47102"/>
    <w:rsid w:val="00C50779"/>
    <w:rsid w:val="00C568E1"/>
    <w:rsid w:val="00C61CF1"/>
    <w:rsid w:val="00C62F60"/>
    <w:rsid w:val="00C73BC2"/>
    <w:rsid w:val="00C73D52"/>
    <w:rsid w:val="00C758BB"/>
    <w:rsid w:val="00C85FA8"/>
    <w:rsid w:val="00C93B52"/>
    <w:rsid w:val="00C94D07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34653"/>
    <w:rsid w:val="00D42B7D"/>
    <w:rsid w:val="00D430F9"/>
    <w:rsid w:val="00D503B9"/>
    <w:rsid w:val="00D50499"/>
    <w:rsid w:val="00D53B82"/>
    <w:rsid w:val="00D53D10"/>
    <w:rsid w:val="00D55104"/>
    <w:rsid w:val="00D610A9"/>
    <w:rsid w:val="00D615EC"/>
    <w:rsid w:val="00D62B06"/>
    <w:rsid w:val="00D63E14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4F10"/>
    <w:rsid w:val="00DA5A54"/>
    <w:rsid w:val="00DC4452"/>
    <w:rsid w:val="00DC62C6"/>
    <w:rsid w:val="00DD114E"/>
    <w:rsid w:val="00DD3094"/>
    <w:rsid w:val="00DD5F4F"/>
    <w:rsid w:val="00DE2408"/>
    <w:rsid w:val="00DE50C7"/>
    <w:rsid w:val="00DF75D0"/>
    <w:rsid w:val="00E00269"/>
    <w:rsid w:val="00E03946"/>
    <w:rsid w:val="00E03A3B"/>
    <w:rsid w:val="00E051BE"/>
    <w:rsid w:val="00E12A25"/>
    <w:rsid w:val="00E1377C"/>
    <w:rsid w:val="00E20C1F"/>
    <w:rsid w:val="00E2330C"/>
    <w:rsid w:val="00E25A1D"/>
    <w:rsid w:val="00E27D5E"/>
    <w:rsid w:val="00E3039A"/>
    <w:rsid w:val="00E35499"/>
    <w:rsid w:val="00E45F48"/>
    <w:rsid w:val="00E46B80"/>
    <w:rsid w:val="00E46E37"/>
    <w:rsid w:val="00E46E95"/>
    <w:rsid w:val="00E504B2"/>
    <w:rsid w:val="00E54E10"/>
    <w:rsid w:val="00E57A0B"/>
    <w:rsid w:val="00E57B22"/>
    <w:rsid w:val="00E6687B"/>
    <w:rsid w:val="00E67FF9"/>
    <w:rsid w:val="00E71B55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C34CD"/>
    <w:rsid w:val="00ED22CB"/>
    <w:rsid w:val="00ED4EEF"/>
    <w:rsid w:val="00EE05F3"/>
    <w:rsid w:val="00EE4A53"/>
    <w:rsid w:val="00EE5B7D"/>
    <w:rsid w:val="00EF3EA0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142"/>
    <w:rsid w:val="00F31AA9"/>
    <w:rsid w:val="00F4093A"/>
    <w:rsid w:val="00F44257"/>
    <w:rsid w:val="00F44488"/>
    <w:rsid w:val="00F51811"/>
    <w:rsid w:val="00F5603C"/>
    <w:rsid w:val="00F67BFF"/>
    <w:rsid w:val="00F73E27"/>
    <w:rsid w:val="00F934AC"/>
    <w:rsid w:val="00F93621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0F11"/>
    <w:rsid w:val="00FD1E83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970628"/>
  <w15:docId w15:val="{C41ED4EA-196F-4CD2-92A3-B700BE5D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s2">
    <w:name w:val="s2"/>
    <w:basedOn w:val="Absatz-Standardschriftart"/>
    <w:rsid w:val="00B536F1"/>
  </w:style>
  <w:style w:type="character" w:styleId="Kommentarzeichen">
    <w:name w:val="annotation reference"/>
    <w:basedOn w:val="Absatz-Standardschriftart"/>
    <w:uiPriority w:val="99"/>
    <w:semiHidden/>
    <w:unhideWhenUsed/>
    <w:rsid w:val="00781E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1EB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1EB9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1E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1EB9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tagge@thyssenkrup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F0CE-D327-4032-BE73-B216E063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DRUEPPEL-FINK,CLAUDIA</cp:lastModifiedBy>
  <cp:revision>4</cp:revision>
  <cp:lastPrinted>2018-09-07T10:13:00Z</cp:lastPrinted>
  <dcterms:created xsi:type="dcterms:W3CDTF">2018-11-08T14:52:00Z</dcterms:created>
  <dcterms:modified xsi:type="dcterms:W3CDTF">2018-11-08T15:00:00Z</dcterms:modified>
</cp:coreProperties>
</file>