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E8278B" w:rsidP="001E7E0A">
            <w:pPr>
              <w:pStyle w:val="Datefield"/>
            </w:pPr>
            <w:r>
              <w:t>8</w:t>
            </w:r>
            <w:r w:rsidR="009D42F4">
              <w:t>/6/</w:t>
            </w:r>
            <w:r w:rsidR="00313452">
              <w:t>2018</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645CDC">
              <w:rPr>
                <w:noProof/>
              </w:rPr>
              <w:t>1</w:t>
            </w:r>
            <w:r w:rsidR="001E7E0A" w:rsidRPr="0013495B">
              <w:fldChar w:fldCharType="end"/>
            </w:r>
            <w:r w:rsidR="001E7E0A" w:rsidRPr="0013495B">
              <w:t>/</w:t>
            </w:r>
            <w:fldSimple w:instr=" NUMPAGES   \* MERGEFORMAT ">
              <w:r w:rsidR="00645CDC">
                <w:rPr>
                  <w:noProof/>
                </w:rPr>
                <w:t>2</w:t>
              </w:r>
            </w:fldSimple>
          </w:p>
        </w:tc>
      </w:tr>
    </w:tbl>
    <w:p w:rsidR="00DB045B" w:rsidRDefault="00DB045B" w:rsidP="00DB045B"/>
    <w:p w:rsidR="00E8278B" w:rsidRPr="009A0FAA" w:rsidRDefault="00E8278B" w:rsidP="00E8278B">
      <w:pPr>
        <w:rPr>
          <w:rFonts w:ascii="TKTypeMedium" w:hAnsi="TKTypeMedium"/>
        </w:rPr>
      </w:pPr>
      <w:proofErr w:type="spellStart"/>
      <w:proofErr w:type="gramStart"/>
      <w:r>
        <w:rPr>
          <w:rFonts w:ascii="TKTypeMedium" w:hAnsi="TKTypeMedium"/>
        </w:rPr>
        <w:t>rasselstein</w:t>
      </w:r>
      <w:proofErr w:type="spellEnd"/>
      <w:proofErr w:type="gramEnd"/>
      <w:r>
        <w:rPr>
          <w:rFonts w:ascii="TKTypeMedium" w:hAnsi="TKTypeMedium"/>
          <w:vertAlign w:val="superscript"/>
        </w:rPr>
        <w:t>®</w:t>
      </w:r>
      <w:r>
        <w:rPr>
          <w:rFonts w:ascii="TKTypeMedium" w:hAnsi="TKTypeMedium"/>
        </w:rPr>
        <w:t xml:space="preserve"> Express – the new service promise for packaging steel</w:t>
      </w:r>
    </w:p>
    <w:p w:rsidR="00E8278B" w:rsidRDefault="00E8278B" w:rsidP="00E8278B"/>
    <w:p w:rsidR="00E8278B" w:rsidRDefault="00E8278B" w:rsidP="00E8278B">
      <w:r>
        <w:t xml:space="preserve">Only 16 days from ordering until the selected packaging steel is ready for shipping – this is the promise of the new </w:t>
      </w:r>
      <w:proofErr w:type="spellStart"/>
      <w:r>
        <w:t>thyssenkrupp</w:t>
      </w:r>
      <w:proofErr w:type="spellEnd"/>
      <w:r>
        <w:t xml:space="preserve"> Rasselstein GmbH online shop which went live today. </w:t>
      </w:r>
      <w:proofErr w:type="gramStart"/>
      <w:r>
        <w:t>Material from a selection of specifications are</w:t>
      </w:r>
      <w:proofErr w:type="gramEnd"/>
      <w:r>
        <w:t xml:space="preserve"> available for order. The online shop </w:t>
      </w:r>
      <w:hyperlink r:id="rId9" w:history="1">
        <w:r>
          <w:rPr>
            <w:rStyle w:val="Hyperlink"/>
          </w:rPr>
          <w:t>www.packagingsteelshop.com</w:t>
        </w:r>
      </w:hyperlink>
      <w:r>
        <w:t xml:space="preserve"> of the German packaging steel manufacturer, which is geared exclusively towards B2B customers, thus makes an offer to its business partners, which is unparalleled in the industry.</w:t>
      </w:r>
    </w:p>
    <w:p w:rsidR="00E8278B" w:rsidRDefault="00E8278B" w:rsidP="00E8278B"/>
    <w:p w:rsidR="00E8278B" w:rsidRDefault="00E8278B" w:rsidP="00E8278B">
      <w:r>
        <w:t xml:space="preserve">With </w:t>
      </w:r>
      <w:proofErr w:type="spellStart"/>
      <w:r>
        <w:t>rasselstein</w:t>
      </w:r>
      <w:proofErr w:type="spellEnd"/>
      <w:r>
        <w:rPr>
          <w:vertAlign w:val="superscript"/>
        </w:rPr>
        <w:t>®</w:t>
      </w:r>
      <w:r>
        <w:t xml:space="preserve"> Express, existing customers can meet their short-term requirements of additional quantities in an easy and uncomplicated way using the online shop. This could be the case if they need to spontaneously expand their production – e.g. due to the weather or the harvest.</w:t>
      </w:r>
    </w:p>
    <w:p w:rsidR="00E8278B" w:rsidRDefault="00E8278B" w:rsidP="00E8278B"/>
    <w:p w:rsidR="00E8278B" w:rsidRDefault="00E8278B" w:rsidP="00E8278B">
      <w:r>
        <w:t xml:space="preserve">How does the online shop work? The customers receive their personal login data from their contact person at </w:t>
      </w:r>
      <w:proofErr w:type="spellStart"/>
      <w:r>
        <w:t>thyssenkrupp</w:t>
      </w:r>
      <w:proofErr w:type="spellEnd"/>
      <w:r>
        <w:t xml:space="preserve"> in </w:t>
      </w:r>
      <w:proofErr w:type="spellStart"/>
      <w:r>
        <w:t>Andernach</w:t>
      </w:r>
      <w:proofErr w:type="spellEnd"/>
      <w:r>
        <w:t xml:space="preserve">. The login data can be used to log into the online shop and to find out which material numbers and dimensions of </w:t>
      </w:r>
      <w:proofErr w:type="spellStart"/>
      <w:r>
        <w:t>rasselstein</w:t>
      </w:r>
      <w:proofErr w:type="spellEnd"/>
      <w:r>
        <w:rPr>
          <w:vertAlign w:val="superscript"/>
        </w:rPr>
        <w:t>®</w:t>
      </w:r>
      <w:r>
        <w:t xml:space="preserve"> Express are available and in what quantities. Once the customers have found their required specification, they only need to initiate the ordering process in the online shop and wait for a confirmation by their sales contact. For the reduced delivery time service, the customer pays a certain surcharge.</w:t>
      </w:r>
    </w:p>
    <w:p w:rsidR="00E8278B" w:rsidRDefault="00E8278B" w:rsidP="00E8278B"/>
    <w:p w:rsidR="00E8278B" w:rsidRDefault="00E8278B" w:rsidP="00E8278B">
      <w:r>
        <w:t xml:space="preserve">“With our online shop and </w:t>
      </w:r>
      <w:proofErr w:type="spellStart"/>
      <w:r>
        <w:t>rasselstein</w:t>
      </w:r>
      <w:proofErr w:type="spellEnd"/>
      <w:r>
        <w:rPr>
          <w:vertAlign w:val="superscript"/>
        </w:rPr>
        <w:t>®</w:t>
      </w:r>
      <w:r>
        <w:t xml:space="preserve"> Express, we are breaking completely new ground which is unique in the packaging steel industry,” says </w:t>
      </w:r>
      <w:proofErr w:type="spellStart"/>
      <w:r>
        <w:t>Dr.</w:t>
      </w:r>
      <w:proofErr w:type="spellEnd"/>
      <w:r>
        <w:t xml:space="preserve"> Peter Biele, CEO of </w:t>
      </w:r>
      <w:proofErr w:type="spellStart"/>
      <w:r>
        <w:t>thyssenkrupp</w:t>
      </w:r>
      <w:proofErr w:type="spellEnd"/>
      <w:r>
        <w:t xml:space="preserve"> Rasselstein GmbH. “In the online shop, our customers can quickly meet their short-term requirements of additional quantities with just a few clicks. </w:t>
      </w:r>
      <w:proofErr w:type="spellStart"/>
      <w:proofErr w:type="gramStart"/>
      <w:r>
        <w:t>rasselstein</w:t>
      </w:r>
      <w:proofErr w:type="spellEnd"/>
      <w:proofErr w:type="gramEnd"/>
      <w:r>
        <w:rPr>
          <w:vertAlign w:val="superscript"/>
        </w:rPr>
        <w:t>®</w:t>
      </w:r>
      <w:r>
        <w:t xml:space="preserve"> Express gives the customers a comforting feeling that additionally needed quantities can be handled flexibly and in a timely manner. </w:t>
      </w:r>
      <w:proofErr w:type="gramStart"/>
      <w:r>
        <w:t xml:space="preserve">A real benefit for all Rasselstein customers and for </w:t>
      </w:r>
      <w:r w:rsidRPr="00365CC2">
        <w:t>the downstream value chain</w:t>
      </w:r>
      <w:r>
        <w:t>.”</w:t>
      </w:r>
      <w:proofErr w:type="gramEnd"/>
      <w:r>
        <w:t xml:space="preserve"> </w:t>
      </w:r>
    </w:p>
    <w:p w:rsidR="00E8278B" w:rsidRDefault="00E8278B" w:rsidP="00E8278B"/>
    <w:p w:rsidR="00E8278B" w:rsidRPr="002317B2" w:rsidRDefault="00E8278B" w:rsidP="00E8278B">
      <w:pPr>
        <w:rPr>
          <w:color w:val="auto"/>
        </w:rPr>
      </w:pPr>
      <w:r>
        <w:t>The decision to create this innovative online shop is based on numerous discussions with customers. “</w:t>
      </w:r>
      <w:r>
        <w:rPr>
          <w:color w:val="auto"/>
        </w:rPr>
        <w:t>We followed the request for lower delivery times when having to meet an additional short-term requirement. For the launch</w:t>
      </w:r>
      <w:r w:rsidRPr="00365CC2">
        <w:rPr>
          <w:color w:val="auto"/>
        </w:rPr>
        <w:t xml:space="preserve">, we </w:t>
      </w:r>
      <w:r>
        <w:rPr>
          <w:color w:val="auto"/>
        </w:rPr>
        <w:t xml:space="preserve">are </w:t>
      </w:r>
      <w:r w:rsidRPr="00365CC2">
        <w:rPr>
          <w:color w:val="auto"/>
        </w:rPr>
        <w:t>offer</w:t>
      </w:r>
      <w:r>
        <w:rPr>
          <w:color w:val="auto"/>
        </w:rPr>
        <w:t>ing</w:t>
      </w:r>
      <w:r w:rsidRPr="00365CC2">
        <w:rPr>
          <w:color w:val="auto"/>
        </w:rPr>
        <w:t xml:space="preserve"> </w:t>
      </w:r>
      <w:r>
        <w:rPr>
          <w:color w:val="auto"/>
        </w:rPr>
        <w:t>selected</w:t>
      </w:r>
      <w:r w:rsidRPr="00365CC2">
        <w:rPr>
          <w:color w:val="auto"/>
        </w:rPr>
        <w:t xml:space="preserve"> specifications in our </w:t>
      </w:r>
      <w:r>
        <w:rPr>
          <w:color w:val="auto"/>
        </w:rPr>
        <w:t>online shop</w:t>
      </w:r>
      <w:r w:rsidRPr="00365CC2">
        <w:rPr>
          <w:color w:val="auto"/>
        </w:rPr>
        <w:t xml:space="preserve"> and will gradually expand our range</w:t>
      </w:r>
      <w:r>
        <w:rPr>
          <w:color w:val="auto"/>
        </w:rPr>
        <w:t xml:space="preserve">. </w:t>
      </w:r>
      <w:r w:rsidRPr="005E649D">
        <w:t>Considering ourselves a partner to our customers, we are happy to have created this innovative opportunity</w:t>
      </w:r>
      <w:r>
        <w:t>,</w:t>
      </w:r>
      <w:r>
        <w:rPr>
          <w:color w:val="auto"/>
        </w:rPr>
        <w:t xml:space="preserve">” concludes </w:t>
      </w:r>
      <w:r w:rsidR="009833DA">
        <w:rPr>
          <w:color w:val="auto"/>
        </w:rPr>
        <w:br/>
      </w:r>
      <w:proofErr w:type="spellStart"/>
      <w:r>
        <w:rPr>
          <w:color w:val="auto"/>
        </w:rPr>
        <w:lastRenderedPageBreak/>
        <w:t>Dr.</w:t>
      </w:r>
      <w:proofErr w:type="spellEnd"/>
      <w:r>
        <w:rPr>
          <w:color w:val="auto"/>
        </w:rPr>
        <w:t xml:space="preserve"> Biele.</w:t>
      </w:r>
    </w:p>
    <w:p w:rsidR="00DB045B" w:rsidRDefault="00DB045B" w:rsidP="00DB045B"/>
    <w:p w:rsidR="00DB045B" w:rsidRDefault="00DB045B" w:rsidP="00DB045B">
      <w:pPr>
        <w:pStyle w:val="Bulletliste"/>
        <w:numPr>
          <w:ilvl w:val="0"/>
          <w:numId w:val="0"/>
        </w:numPr>
        <w:jc w:val="both"/>
      </w:pPr>
    </w:p>
    <w:p w:rsidR="00DB045B" w:rsidRDefault="00DB045B" w:rsidP="00DB045B">
      <w:pPr>
        <w:pStyle w:val="beruns"/>
        <w:jc w:val="both"/>
      </w:pPr>
      <w:r>
        <w:t>About us:</w:t>
      </w:r>
    </w:p>
    <w:p w:rsidR="00DB045B" w:rsidRDefault="00DB045B" w:rsidP="00DB045B">
      <w:pPr>
        <w:pStyle w:val="beruns"/>
        <w:jc w:val="both"/>
      </w:pPr>
      <w:proofErr w:type="spellStart"/>
      <w:proofErr w:type="gramStart"/>
      <w:r>
        <w:t>thyssenkrupp</w:t>
      </w:r>
      <w:proofErr w:type="spellEnd"/>
      <w:proofErr w:type="gramEnd"/>
      <w:r>
        <w:t xml:space="preserve"> produces approximately 1.5 million </w:t>
      </w:r>
      <w:proofErr w:type="spellStart"/>
      <w:r>
        <w:t>tonnes</w:t>
      </w:r>
      <w:proofErr w:type="spellEnd"/>
      <w:r>
        <w:t xml:space="preserve"> of packaging steel each year in </w:t>
      </w:r>
      <w:proofErr w:type="spellStart"/>
      <w:r>
        <w:t>Andernach</w:t>
      </w:r>
      <w:proofErr w:type="spellEnd"/>
      <w:r>
        <w:t xml:space="preserve">, Rhineland-Palatinate, Germany. At the largest site of its type in the world, </w:t>
      </w:r>
      <w:proofErr w:type="spellStart"/>
      <w:r>
        <w:t>thyssenkrupp</w:t>
      </w:r>
      <w:proofErr w:type="spellEnd"/>
      <w:r>
        <w:t xml:space="preserve"> rolls steel to a thickness of 0.100 millimeters and finishes the surface with tin or chrome. Nearly all of the steel produced is shipped to packaging manufacturers around the world. Alongside cans for food and pet food, packaging steel is also used, for example, for beverage and aerosol cans, containers for chemical and technical filling </w:t>
      </w:r>
      <w:r w:rsidR="00CE22EF">
        <w:t>goods</w:t>
      </w:r>
      <w:bookmarkStart w:id="0" w:name="_GoBack"/>
      <w:bookmarkEnd w:id="0"/>
      <w:r>
        <w:t xml:space="preserve">, as well as for crown corks and twist-off tops. </w:t>
      </w:r>
      <w:proofErr w:type="spellStart"/>
      <w:proofErr w:type="gramStart"/>
      <w:r>
        <w:t>thyssenkrupp</w:t>
      </w:r>
      <w:proofErr w:type="spellEnd"/>
      <w:proofErr w:type="gramEnd"/>
      <w:r>
        <w:t xml:space="preserve"> has around 2,400 employees in </w:t>
      </w:r>
      <w:proofErr w:type="spellStart"/>
      <w:r>
        <w:t>Andernach</w:t>
      </w:r>
      <w:proofErr w:type="spellEnd"/>
      <w:r>
        <w:t>.</w:t>
      </w:r>
    </w:p>
    <w:p w:rsidR="00DB045B" w:rsidRDefault="00DB045B" w:rsidP="00DB045B">
      <w:pPr>
        <w:pStyle w:val="beruns"/>
        <w:jc w:val="both"/>
      </w:pPr>
    </w:p>
    <w:p w:rsidR="00DB045B" w:rsidRDefault="00DB045B" w:rsidP="00DB045B"/>
    <w:p w:rsidR="00DB045B" w:rsidRDefault="00DB045B" w:rsidP="00DB045B"/>
    <w:p w:rsidR="00DB045B" w:rsidRPr="00882A52" w:rsidRDefault="00DB045B" w:rsidP="00DB045B"/>
    <w:p w:rsidR="00DB045B" w:rsidRPr="005261C9" w:rsidRDefault="00DB045B" w:rsidP="00DB045B">
      <w:pPr>
        <w:rPr>
          <w:lang w:val="de-DE"/>
        </w:rPr>
      </w:pPr>
      <w:proofErr w:type="spellStart"/>
      <w:r w:rsidRPr="005261C9">
        <w:rPr>
          <w:lang w:val="de-DE"/>
        </w:rPr>
        <w:t>Contact</w:t>
      </w:r>
      <w:proofErr w:type="spellEnd"/>
      <w:r w:rsidRPr="005261C9">
        <w:rPr>
          <w:lang w:val="de-DE"/>
        </w:rPr>
        <w:t>:</w:t>
      </w:r>
    </w:p>
    <w:p w:rsidR="00F34899" w:rsidRPr="005E649D" w:rsidRDefault="00F34899" w:rsidP="00F34899">
      <w:pPr>
        <w:rPr>
          <w:lang w:val="de-DE"/>
        </w:rPr>
      </w:pPr>
      <w:proofErr w:type="spellStart"/>
      <w:r w:rsidRPr="005E649D">
        <w:rPr>
          <w:lang w:val="de-DE"/>
        </w:rPr>
        <w:t>thyssenkrupp</w:t>
      </w:r>
      <w:proofErr w:type="spellEnd"/>
      <w:r w:rsidRPr="005E649D">
        <w:rPr>
          <w:lang w:val="de-DE"/>
        </w:rPr>
        <w:t xml:space="preserve"> Rasselstein GmbH</w:t>
      </w:r>
    </w:p>
    <w:p w:rsidR="00F34899" w:rsidRPr="005E649D" w:rsidRDefault="00F34899" w:rsidP="00F34899">
      <w:pPr>
        <w:rPr>
          <w:lang w:val="de-DE"/>
        </w:rPr>
      </w:pPr>
      <w:r w:rsidRPr="005E649D">
        <w:rPr>
          <w:lang w:val="de-DE"/>
        </w:rPr>
        <w:t>Carmen Tschage</w:t>
      </w:r>
    </w:p>
    <w:p w:rsidR="00F34899" w:rsidRPr="00FB72B3" w:rsidRDefault="00F34899" w:rsidP="00F34899">
      <w:r>
        <w:t>Head of Communications</w:t>
      </w:r>
    </w:p>
    <w:p w:rsidR="00F34899" w:rsidRPr="00660B97" w:rsidRDefault="00F34899" w:rsidP="00F34899">
      <w:r>
        <w:t>Phone: +49 2632 3097</w:t>
      </w:r>
      <w:r w:rsidRPr="001D4438">
        <w:rPr>
          <w:rFonts w:ascii="Arial" w:hAnsi="Arial" w:cs="Arial"/>
        </w:rPr>
        <w:t> </w:t>
      </w:r>
      <w:r w:rsidRPr="001D4438">
        <w:t>-</w:t>
      </w:r>
      <w:r w:rsidRPr="001D4438">
        <w:rPr>
          <w:rFonts w:ascii="Arial" w:hAnsi="Arial" w:cs="Arial"/>
        </w:rPr>
        <w:t> </w:t>
      </w:r>
      <w:r w:rsidRPr="001D4438">
        <w:t>2764</w:t>
      </w:r>
    </w:p>
    <w:p w:rsidR="00F34899" w:rsidRPr="00660B97" w:rsidRDefault="00F34899" w:rsidP="00F34899">
      <w:r>
        <w:t>carmen.tschage@thyssenkrupp.com</w:t>
      </w:r>
    </w:p>
    <w:p w:rsidR="001D4438" w:rsidRPr="009833DA" w:rsidRDefault="001D4438" w:rsidP="001D4438">
      <w:pPr>
        <w:rPr>
          <w:lang w:val="de-DE"/>
        </w:rPr>
      </w:pPr>
      <w:r w:rsidRPr="009833DA">
        <w:rPr>
          <w:lang w:val="de-DE"/>
        </w:rPr>
        <w:t>www.thyssenkrupp-steel.com</w:t>
      </w:r>
    </w:p>
    <w:p w:rsidR="001D4438" w:rsidRPr="009833DA" w:rsidRDefault="001D4438" w:rsidP="00DB045B">
      <w:pPr>
        <w:rPr>
          <w:lang w:val="de-DE"/>
        </w:rPr>
      </w:pPr>
    </w:p>
    <w:p w:rsidR="00DB045B" w:rsidRPr="009833DA" w:rsidRDefault="001D4438" w:rsidP="00DB045B">
      <w:pPr>
        <w:rPr>
          <w:lang w:val="de-DE"/>
        </w:rPr>
      </w:pPr>
      <w:r w:rsidRPr="009833DA">
        <w:rPr>
          <w:lang w:val="de-DE"/>
        </w:rPr>
        <w:t>C</w:t>
      </w:r>
      <w:r w:rsidR="00DB045B" w:rsidRPr="009833DA">
        <w:rPr>
          <w:lang w:val="de-DE"/>
        </w:rPr>
        <w:t xml:space="preserve">ompany </w:t>
      </w:r>
      <w:proofErr w:type="spellStart"/>
      <w:r w:rsidR="00DB045B" w:rsidRPr="009833DA">
        <w:rPr>
          <w:lang w:val="de-DE"/>
        </w:rPr>
        <w:t>blog</w:t>
      </w:r>
      <w:proofErr w:type="spellEnd"/>
      <w:r w:rsidR="00DB045B" w:rsidRPr="009833DA">
        <w:rPr>
          <w:lang w:val="de-DE"/>
        </w:rPr>
        <w:t>:</w:t>
      </w:r>
    </w:p>
    <w:p w:rsidR="00DB045B" w:rsidRPr="009833DA" w:rsidRDefault="00DB045B" w:rsidP="00DB045B">
      <w:pPr>
        <w:rPr>
          <w:lang w:val="de-DE"/>
        </w:rPr>
      </w:pPr>
      <w:r w:rsidRPr="009833DA">
        <w:rPr>
          <w:lang w:val="de-DE"/>
        </w:rPr>
        <w:t>https://engineered.thyssenkrupp.com/en/</w:t>
      </w:r>
    </w:p>
    <w:sectPr w:rsidR="00DB045B" w:rsidRPr="009833DA" w:rsidSect="008D3DFA">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503040202020204"/>
    <w:charset w:val="00"/>
    <w:family w:val="swiss"/>
    <w:pitch w:val="variable"/>
    <w:sig w:usb0="800000A7" w:usb1="00000040"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Trebuchet MS"/>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7" w:rsidRPr="006C26E6" w:rsidRDefault="006C26E6" w:rsidP="006C26E6">
    <w:pPr>
      <w:pStyle w:val="Fuzeile"/>
    </w:pPr>
    <w:r>
      <w:rPr>
        <w:noProof/>
        <w:lang w:val="de-DE" w:eastAsia="de-DE"/>
      </w:rPr>
      <mc:AlternateContent>
        <mc:Choice Requires="wps">
          <w:drawing>
            <wp:anchor distT="180340" distB="0" distL="114300" distR="114300" simplePos="0" relativeHeight="251683840" behindDoc="0" locked="0" layoutInCell="1" allowOverlap="1" wp14:anchorId="5E4A3317" wp14:editId="5F96CF39">
              <wp:simplePos x="0" y="0"/>
              <wp:positionH relativeFrom="page">
                <wp:posOffset>636270</wp:posOffset>
              </wp:positionH>
              <wp:positionV relativeFrom="page">
                <wp:posOffset>9520499</wp:posOffset>
              </wp:positionV>
              <wp:extent cx="6772910" cy="744855"/>
              <wp:effectExtent l="0" t="0" r="8890" b="0"/>
              <wp:wrapTopAndBottom/>
              <wp:docPr id="4" name="Rechteck 4"/>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9C2661">
                            <w:rPr>
                              <w:rFonts w:asciiTheme="majorHAnsi" w:hAnsiTheme="majorHAnsi"/>
                              <w:szCs w:val="14"/>
                            </w:rPr>
                            <w:t>N.N</w:t>
                          </w:r>
                          <w:proofErr w:type="gramStart"/>
                          <w:r w:rsidR="009C2661">
                            <w:rPr>
                              <w:rFonts w:asciiTheme="majorHAnsi" w:hAnsiTheme="majorHAnsi"/>
                              <w:szCs w:val="14"/>
                            </w:rPr>
                            <w:t>.</w:t>
                          </w:r>
                          <w:proofErr w:type="gram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Dr.-</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7" style="position:absolute;left:0;text-align:left;margin-left:50.1pt;margin-top:749.65pt;width:533.3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" filled="f" stroked="f" strokeweight="1pt">
              <v:textbox inset="0,0,0,0">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9C2661">
                      <w:rPr>
                        <w:rFonts w:asciiTheme="majorHAnsi" w:hAnsiTheme="majorHAnsi"/>
                        <w:szCs w:val="14"/>
                      </w:rPr>
                      <w:t>N.N</w:t>
                    </w:r>
                    <w:proofErr w:type="gramStart"/>
                    <w:r w:rsidR="009C2661">
                      <w:rPr>
                        <w:rFonts w:asciiTheme="majorHAnsi" w:hAnsiTheme="majorHAnsi"/>
                        <w:szCs w:val="14"/>
                      </w:rPr>
                      <w:t>.</w:t>
                    </w:r>
                    <w:proofErr w:type="gram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Dr.-</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5BA15CE2" wp14:editId="58753386">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C6408C">
                            <w:rPr>
                              <w:rFonts w:asciiTheme="majorHAnsi" w:hAnsiTheme="majorHAnsi"/>
                              <w:szCs w:val="14"/>
                            </w:rPr>
                            <w:t>N.N</w:t>
                          </w:r>
                          <w:proofErr w:type="gramStart"/>
                          <w:r w:rsidR="00C6408C">
                            <w:rPr>
                              <w:rFonts w:asciiTheme="majorHAnsi" w:hAnsiTheme="majorHAnsi"/>
                              <w:szCs w:val="14"/>
                            </w:rPr>
                            <w:t>.</w:t>
                          </w:r>
                          <w:proofErr w:type="gram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w:t>
                          </w:r>
                          <w:r w:rsidR="003C6347">
                            <w:rPr>
                              <w:rFonts w:asciiTheme="majorHAnsi" w:hAnsiTheme="majorHAnsi"/>
                              <w:szCs w:val="14"/>
                            </w:rPr>
                            <w:t xml:space="preserve"> </w:t>
                          </w:r>
                          <w:r>
                            <w:rPr>
                              <w:rFonts w:asciiTheme="majorHAnsi" w:hAnsiTheme="majorHAnsi"/>
                              <w:szCs w:val="14"/>
                            </w:rPr>
                            <w:t>Dr</w:t>
                          </w:r>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C6408C">
                      <w:rPr>
                        <w:rFonts w:asciiTheme="majorHAnsi" w:hAnsiTheme="majorHAnsi"/>
                        <w:szCs w:val="14"/>
                      </w:rPr>
                      <w:t>N.N</w:t>
                    </w:r>
                    <w:proofErr w:type="gramStart"/>
                    <w:r w:rsidR="00C6408C">
                      <w:rPr>
                        <w:rFonts w:asciiTheme="majorHAnsi" w:hAnsiTheme="majorHAnsi"/>
                        <w:szCs w:val="14"/>
                      </w:rPr>
                      <w:t>.</w:t>
                    </w:r>
                    <w:proofErr w:type="gram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w:t>
                    </w:r>
                    <w:r w:rsidR="003C6347">
                      <w:rPr>
                        <w:rFonts w:asciiTheme="majorHAnsi" w:hAnsiTheme="majorHAnsi"/>
                        <w:szCs w:val="14"/>
                      </w:rPr>
                      <w:t xml:space="preserve"> </w:t>
                    </w:r>
                    <w:r>
                      <w:rPr>
                        <w:rFonts w:asciiTheme="majorHAnsi" w:hAnsiTheme="majorHAnsi"/>
                        <w:szCs w:val="14"/>
                      </w:rPr>
                      <w:t>Dr</w:t>
                    </w:r>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173BFC7C" wp14:editId="7351D97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2610A1D1" wp14:editId="671CA4D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CE22EF">
                            <w:rPr>
                              <w:noProof/>
                            </w:rPr>
                            <w:t>8/6/2018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CE22EF">
                            <w:rPr>
                              <w:noProof/>
                            </w:rPr>
                            <w:t>2</w:t>
                          </w:r>
                          <w:r w:rsidR="00490007">
                            <w:fldChar w:fldCharType="end"/>
                          </w:r>
                          <w:r w:rsidR="00490007">
                            <w:t>/</w:t>
                          </w:r>
                          <w:fldSimple w:instr=" NUMPAGES   \* MERGEFORMAT ">
                            <w:r w:rsidR="00CE22EF">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CE22EF">
                      <w:rPr>
                        <w:noProof/>
                      </w:rPr>
                      <w:t>8/6/2018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CE22EF">
                      <w:rPr>
                        <w:noProof/>
                      </w:rPr>
                      <w:t>2</w:t>
                    </w:r>
                    <w:r w:rsidR="00490007">
                      <w:fldChar w:fldCharType="end"/>
                    </w:r>
                    <w:r w:rsidR="00490007">
                      <w:t>/</w:t>
                    </w:r>
                    <w:fldSimple w:instr=" NUMPAGES   \* MERGEFORMAT ">
                      <w:r w:rsidR="00CE22EF">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50EDBF99" wp14:editId="4BDC407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3.5pt" o:bullet="t">
        <v:imagedata r:id="rId1" o:title="Bullet_blau_RGB_klein"/>
      </v:shape>
    </w:pict>
  </w:numPicBullet>
  <w:numPicBullet w:numPicBulletId="1">
    <w:pict>
      <v:shape id="_x0000_i1027" type="#_x0000_t75" style="width:3.5pt;height:3.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61FA"/>
    <w:rsid w:val="001A6CD7"/>
    <w:rsid w:val="001B118B"/>
    <w:rsid w:val="001B5D61"/>
    <w:rsid w:val="001C031C"/>
    <w:rsid w:val="001D4438"/>
    <w:rsid w:val="001E7E0A"/>
    <w:rsid w:val="00241A5F"/>
    <w:rsid w:val="00243C72"/>
    <w:rsid w:val="0024653B"/>
    <w:rsid w:val="00250865"/>
    <w:rsid w:val="0025289D"/>
    <w:rsid w:val="002632A4"/>
    <w:rsid w:val="00265BD0"/>
    <w:rsid w:val="002C62A1"/>
    <w:rsid w:val="002D1B27"/>
    <w:rsid w:val="002D5344"/>
    <w:rsid w:val="002E2CC9"/>
    <w:rsid w:val="00304A38"/>
    <w:rsid w:val="00313452"/>
    <w:rsid w:val="00323E6F"/>
    <w:rsid w:val="003312D4"/>
    <w:rsid w:val="003412BB"/>
    <w:rsid w:val="003440A4"/>
    <w:rsid w:val="00347759"/>
    <w:rsid w:val="00374CE1"/>
    <w:rsid w:val="003857D6"/>
    <w:rsid w:val="00394191"/>
    <w:rsid w:val="003A2163"/>
    <w:rsid w:val="003A46CB"/>
    <w:rsid w:val="003B1E7E"/>
    <w:rsid w:val="003B7837"/>
    <w:rsid w:val="003C2CA3"/>
    <w:rsid w:val="003C3F58"/>
    <w:rsid w:val="003C6347"/>
    <w:rsid w:val="003C7279"/>
    <w:rsid w:val="003D026C"/>
    <w:rsid w:val="003D041C"/>
    <w:rsid w:val="003D3A03"/>
    <w:rsid w:val="003E7341"/>
    <w:rsid w:val="00402E5D"/>
    <w:rsid w:val="004454A2"/>
    <w:rsid w:val="00457F9F"/>
    <w:rsid w:val="00460DDE"/>
    <w:rsid w:val="00466E32"/>
    <w:rsid w:val="00467F61"/>
    <w:rsid w:val="00485FCD"/>
    <w:rsid w:val="00487825"/>
    <w:rsid w:val="00490007"/>
    <w:rsid w:val="004A3F53"/>
    <w:rsid w:val="004C1133"/>
    <w:rsid w:val="004C5BA4"/>
    <w:rsid w:val="004D4520"/>
    <w:rsid w:val="004F1447"/>
    <w:rsid w:val="004F3F4D"/>
    <w:rsid w:val="004F5593"/>
    <w:rsid w:val="004F603C"/>
    <w:rsid w:val="005028EC"/>
    <w:rsid w:val="00502CE9"/>
    <w:rsid w:val="0050798B"/>
    <w:rsid w:val="00515661"/>
    <w:rsid w:val="0052707C"/>
    <w:rsid w:val="005356B9"/>
    <w:rsid w:val="00544BC4"/>
    <w:rsid w:val="00556640"/>
    <w:rsid w:val="005623E6"/>
    <w:rsid w:val="00563A7F"/>
    <w:rsid w:val="00572FD2"/>
    <w:rsid w:val="00573DC5"/>
    <w:rsid w:val="00584019"/>
    <w:rsid w:val="00584295"/>
    <w:rsid w:val="00584D9C"/>
    <w:rsid w:val="005851CA"/>
    <w:rsid w:val="00585C45"/>
    <w:rsid w:val="00593146"/>
    <w:rsid w:val="0059570E"/>
    <w:rsid w:val="005A1EF6"/>
    <w:rsid w:val="005B4452"/>
    <w:rsid w:val="005B5ABA"/>
    <w:rsid w:val="005D596D"/>
    <w:rsid w:val="005E7FCB"/>
    <w:rsid w:val="00606EE4"/>
    <w:rsid w:val="00614B87"/>
    <w:rsid w:val="006366E0"/>
    <w:rsid w:val="00645CDC"/>
    <w:rsid w:val="00655A29"/>
    <w:rsid w:val="006870AC"/>
    <w:rsid w:val="006924B4"/>
    <w:rsid w:val="00693BD1"/>
    <w:rsid w:val="006977CF"/>
    <w:rsid w:val="006C26E6"/>
    <w:rsid w:val="006C4DE2"/>
    <w:rsid w:val="006D2BC1"/>
    <w:rsid w:val="006E5B34"/>
    <w:rsid w:val="007065C5"/>
    <w:rsid w:val="007226A9"/>
    <w:rsid w:val="00741356"/>
    <w:rsid w:val="00743CA5"/>
    <w:rsid w:val="00755DC2"/>
    <w:rsid w:val="0076538B"/>
    <w:rsid w:val="00777040"/>
    <w:rsid w:val="00785030"/>
    <w:rsid w:val="007B6484"/>
    <w:rsid w:val="007B7169"/>
    <w:rsid w:val="007C2073"/>
    <w:rsid w:val="007C45CE"/>
    <w:rsid w:val="007C6F64"/>
    <w:rsid w:val="007D2DC3"/>
    <w:rsid w:val="0083279D"/>
    <w:rsid w:val="0085632E"/>
    <w:rsid w:val="00874877"/>
    <w:rsid w:val="0087668E"/>
    <w:rsid w:val="00894B12"/>
    <w:rsid w:val="008A7BF0"/>
    <w:rsid w:val="008B2362"/>
    <w:rsid w:val="008B3481"/>
    <w:rsid w:val="008B6309"/>
    <w:rsid w:val="008D3DFA"/>
    <w:rsid w:val="008D78B5"/>
    <w:rsid w:val="008F1C7C"/>
    <w:rsid w:val="008F2FF4"/>
    <w:rsid w:val="009110E9"/>
    <w:rsid w:val="00922375"/>
    <w:rsid w:val="0092247E"/>
    <w:rsid w:val="009342E0"/>
    <w:rsid w:val="009833DA"/>
    <w:rsid w:val="009B4DA2"/>
    <w:rsid w:val="009B57CB"/>
    <w:rsid w:val="009C2661"/>
    <w:rsid w:val="009D42F4"/>
    <w:rsid w:val="00A122FC"/>
    <w:rsid w:val="00A16F76"/>
    <w:rsid w:val="00A177FB"/>
    <w:rsid w:val="00A201CF"/>
    <w:rsid w:val="00A24396"/>
    <w:rsid w:val="00A429FE"/>
    <w:rsid w:val="00A51FAE"/>
    <w:rsid w:val="00A54FA1"/>
    <w:rsid w:val="00A67B90"/>
    <w:rsid w:val="00A70C82"/>
    <w:rsid w:val="00AC49B6"/>
    <w:rsid w:val="00AF4318"/>
    <w:rsid w:val="00AF75F1"/>
    <w:rsid w:val="00B147E8"/>
    <w:rsid w:val="00B56DC4"/>
    <w:rsid w:val="00B579A7"/>
    <w:rsid w:val="00B61DEE"/>
    <w:rsid w:val="00B77C8B"/>
    <w:rsid w:val="00B846E0"/>
    <w:rsid w:val="00B9508B"/>
    <w:rsid w:val="00B97794"/>
    <w:rsid w:val="00BC231C"/>
    <w:rsid w:val="00BD5051"/>
    <w:rsid w:val="00BF057E"/>
    <w:rsid w:val="00BF1BD5"/>
    <w:rsid w:val="00BF5D25"/>
    <w:rsid w:val="00C26942"/>
    <w:rsid w:val="00C3733B"/>
    <w:rsid w:val="00C62F60"/>
    <w:rsid w:val="00C6408C"/>
    <w:rsid w:val="00C73BC2"/>
    <w:rsid w:val="00C8537F"/>
    <w:rsid w:val="00C94631"/>
    <w:rsid w:val="00CA1206"/>
    <w:rsid w:val="00CA344E"/>
    <w:rsid w:val="00CB6F07"/>
    <w:rsid w:val="00CC7769"/>
    <w:rsid w:val="00CD4852"/>
    <w:rsid w:val="00CE0E65"/>
    <w:rsid w:val="00CE1ACD"/>
    <w:rsid w:val="00CE22EF"/>
    <w:rsid w:val="00CE6C07"/>
    <w:rsid w:val="00CF66A5"/>
    <w:rsid w:val="00D003F8"/>
    <w:rsid w:val="00D204CD"/>
    <w:rsid w:val="00D335B3"/>
    <w:rsid w:val="00D42B7D"/>
    <w:rsid w:val="00D503B9"/>
    <w:rsid w:val="00D50499"/>
    <w:rsid w:val="00D615EC"/>
    <w:rsid w:val="00D66EA9"/>
    <w:rsid w:val="00D70A35"/>
    <w:rsid w:val="00D8016B"/>
    <w:rsid w:val="00D90483"/>
    <w:rsid w:val="00D92877"/>
    <w:rsid w:val="00D938A5"/>
    <w:rsid w:val="00DA5A54"/>
    <w:rsid w:val="00DB045B"/>
    <w:rsid w:val="00DB2BB8"/>
    <w:rsid w:val="00E20A57"/>
    <w:rsid w:val="00E249CE"/>
    <w:rsid w:val="00E27D5E"/>
    <w:rsid w:val="00E3039A"/>
    <w:rsid w:val="00E424C7"/>
    <w:rsid w:val="00E504B2"/>
    <w:rsid w:val="00E52655"/>
    <w:rsid w:val="00E67FF9"/>
    <w:rsid w:val="00E72E7F"/>
    <w:rsid w:val="00E8278B"/>
    <w:rsid w:val="00E97A69"/>
    <w:rsid w:val="00ED4EEF"/>
    <w:rsid w:val="00EE05F3"/>
    <w:rsid w:val="00EF18DC"/>
    <w:rsid w:val="00F020CA"/>
    <w:rsid w:val="00F11918"/>
    <w:rsid w:val="00F13F4B"/>
    <w:rsid w:val="00F22FC8"/>
    <w:rsid w:val="00F246D2"/>
    <w:rsid w:val="00F31AA9"/>
    <w:rsid w:val="00F34899"/>
    <w:rsid w:val="00F4093A"/>
    <w:rsid w:val="00F51811"/>
    <w:rsid w:val="00F5603C"/>
    <w:rsid w:val="00F5624A"/>
    <w:rsid w:val="00F67BFF"/>
    <w:rsid w:val="00F67D84"/>
    <w:rsid w:val="00F776D3"/>
    <w:rsid w:val="00F91E02"/>
    <w:rsid w:val="00F934AC"/>
    <w:rsid w:val="00F96395"/>
    <w:rsid w:val="00FA79C7"/>
    <w:rsid w:val="00FB20DF"/>
    <w:rsid w:val="00FC116B"/>
    <w:rsid w:val="00FD23C7"/>
    <w:rsid w:val="00FD768B"/>
    <w:rsid w:val="00FE326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ckagingsteelsho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90E1-E79E-423C-A4EA-4359FAA5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7857E838.dotm</Template>
  <TotalTime>0</TotalTime>
  <Pages>2</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4</cp:revision>
  <cp:lastPrinted>2018-02-21T08:46:00Z</cp:lastPrinted>
  <dcterms:created xsi:type="dcterms:W3CDTF">2018-08-06T08:48:00Z</dcterms:created>
  <dcterms:modified xsi:type="dcterms:W3CDTF">2018-08-06T09:06:00Z</dcterms:modified>
</cp:coreProperties>
</file>