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CE5BEA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CE5BEA" w:rsidRDefault="008D3DFA" w:rsidP="001E7E0A">
            <w:pPr>
              <w:rPr>
                <w:noProof/>
                <w:szCs w:val="20"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CE5BEA" w:rsidRDefault="00EB4732" w:rsidP="001E7E0A">
            <w:pPr>
              <w:pStyle w:val="BusinessArea"/>
              <w:rPr>
                <w:sz w:val="20"/>
                <w:szCs w:val="20"/>
              </w:rPr>
            </w:pPr>
            <w:r w:rsidRPr="00CE5BEA">
              <w:rPr>
                <w:sz w:val="20"/>
                <w:szCs w:val="20"/>
              </w:rPr>
              <w:t>Steel</w:t>
            </w:r>
            <w:r w:rsidR="00E42231" w:rsidRPr="00CE5BEA">
              <w:rPr>
                <w:sz w:val="20"/>
                <w:szCs w:val="20"/>
              </w:rPr>
              <w:t xml:space="preserve"> Europe</w:t>
            </w:r>
          </w:p>
        </w:tc>
      </w:tr>
      <w:tr w:rsidR="001E7E0A" w:rsidRPr="00CE5BEA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CE5BEA" w:rsidRDefault="001E7E0A" w:rsidP="001E7E0A">
            <w:pPr>
              <w:rPr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1E7E0A" w:rsidRPr="00CE5BEA" w:rsidRDefault="001E7E0A" w:rsidP="001E7E0A">
            <w:pPr>
              <w:pStyle w:val="BusinessArea"/>
              <w:rPr>
                <w:sz w:val="20"/>
                <w:szCs w:val="20"/>
              </w:rPr>
            </w:pPr>
          </w:p>
        </w:tc>
      </w:tr>
      <w:tr w:rsidR="001E7E0A" w:rsidRPr="00CE5BEA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CE5BEA" w:rsidRDefault="001E7E0A" w:rsidP="00F4093A">
            <w:pPr>
              <w:pStyle w:val="Absenderadresse"/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1E7E0A" w:rsidRPr="00CE5BEA" w:rsidRDefault="004B0692" w:rsidP="001E7E0A">
            <w:pPr>
              <w:pStyle w:val="Datumsangabe"/>
              <w:rPr>
                <w:sz w:val="20"/>
                <w:szCs w:val="20"/>
              </w:rPr>
            </w:pPr>
            <w:r w:rsidRPr="00CE5BEA">
              <w:rPr>
                <w:sz w:val="20"/>
                <w:szCs w:val="20"/>
              </w:rPr>
              <w:t>07</w:t>
            </w:r>
            <w:r w:rsidR="005E33C0" w:rsidRPr="00CE5BEA">
              <w:rPr>
                <w:sz w:val="20"/>
                <w:szCs w:val="20"/>
              </w:rPr>
              <w:t>.12</w:t>
            </w:r>
            <w:r w:rsidR="00EA02DD" w:rsidRPr="00CE5BEA">
              <w:rPr>
                <w:sz w:val="20"/>
                <w:szCs w:val="20"/>
              </w:rPr>
              <w:t>.2016</w:t>
            </w:r>
          </w:p>
          <w:p w:rsidR="001E7E0A" w:rsidRPr="00CE5BEA" w:rsidRDefault="001E7E0A" w:rsidP="002017F7">
            <w:pPr>
              <w:pStyle w:val="Seitenzahlangabe"/>
              <w:rPr>
                <w:sz w:val="20"/>
                <w:szCs w:val="20"/>
              </w:rPr>
            </w:pPr>
            <w:r w:rsidRPr="00CE5BEA">
              <w:rPr>
                <w:sz w:val="20"/>
                <w:szCs w:val="20"/>
              </w:rPr>
              <w:t xml:space="preserve">Seite </w:t>
            </w:r>
            <w:r w:rsidRPr="00CE5BEA">
              <w:rPr>
                <w:sz w:val="20"/>
                <w:szCs w:val="20"/>
              </w:rPr>
              <w:fldChar w:fldCharType="begin"/>
            </w:r>
            <w:r w:rsidRPr="00CE5BEA">
              <w:rPr>
                <w:sz w:val="20"/>
                <w:szCs w:val="20"/>
              </w:rPr>
              <w:instrText xml:space="preserve"> PAGE   \* MERGEFORMAT </w:instrText>
            </w:r>
            <w:r w:rsidRPr="00CE5BEA">
              <w:rPr>
                <w:sz w:val="20"/>
                <w:szCs w:val="20"/>
              </w:rPr>
              <w:fldChar w:fldCharType="separate"/>
            </w:r>
            <w:r w:rsidR="00B97BF8">
              <w:rPr>
                <w:noProof/>
                <w:sz w:val="20"/>
                <w:szCs w:val="20"/>
              </w:rPr>
              <w:t>1</w:t>
            </w:r>
            <w:r w:rsidRPr="00CE5BEA">
              <w:rPr>
                <w:sz w:val="20"/>
                <w:szCs w:val="20"/>
              </w:rPr>
              <w:fldChar w:fldCharType="end"/>
            </w:r>
            <w:r w:rsidRPr="00CE5BEA">
              <w:rPr>
                <w:sz w:val="20"/>
                <w:szCs w:val="20"/>
              </w:rPr>
              <w:t>/</w:t>
            </w:r>
            <w:r w:rsidR="001622EE" w:rsidRPr="00CE5BEA">
              <w:rPr>
                <w:sz w:val="20"/>
                <w:szCs w:val="20"/>
              </w:rPr>
              <w:t>3</w:t>
            </w:r>
          </w:p>
        </w:tc>
      </w:tr>
    </w:tbl>
    <w:p w:rsidR="001622EE" w:rsidRPr="00CE5BEA" w:rsidRDefault="004B0692" w:rsidP="001622EE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0"/>
          <w:lang w:eastAsia="de-DE"/>
        </w:rPr>
      </w:pPr>
      <w:r w:rsidRPr="00CE5BEA">
        <w:rPr>
          <w:rFonts w:eastAsia="Times New Roman"/>
          <w:b/>
          <w:szCs w:val="20"/>
          <w:lang w:eastAsia="de-DE"/>
        </w:rPr>
        <w:t>Ausgezeichnete Vereinbarkeit von Familie und Beruf</w:t>
      </w:r>
      <w:r w:rsidR="001E68C0" w:rsidRPr="00CE5BEA">
        <w:rPr>
          <w:rFonts w:eastAsia="Times New Roman"/>
          <w:b/>
          <w:szCs w:val="20"/>
          <w:lang w:eastAsia="de-DE"/>
        </w:rPr>
        <w:t xml:space="preserve">: </w:t>
      </w:r>
      <w:r w:rsidRPr="00CE5BEA">
        <w:rPr>
          <w:rFonts w:eastAsia="Times New Roman"/>
          <w:b/>
          <w:szCs w:val="20"/>
          <w:lang w:eastAsia="de-DE"/>
        </w:rPr>
        <w:t xml:space="preserve">Stahlsparte von thyssenkrupp gewinnt Preis als „Familienfreundliches Unternehmen 2016 in Duisburg“ </w:t>
      </w:r>
    </w:p>
    <w:p w:rsidR="009B1D04" w:rsidRDefault="002633D0" w:rsidP="004B0692">
      <w:pPr>
        <w:spacing w:line="360" w:lineRule="auto"/>
        <w:jc w:val="both"/>
        <w:rPr>
          <w:rFonts w:eastAsia="Times New Roman"/>
          <w:szCs w:val="20"/>
          <w:lang w:eastAsia="de-DE"/>
        </w:rPr>
      </w:pPr>
      <w:r w:rsidRPr="00CE5BEA">
        <w:rPr>
          <w:rFonts w:eastAsia="Times New Roman"/>
          <w:szCs w:val="20"/>
          <w:lang w:eastAsia="de-DE"/>
        </w:rPr>
        <w:t xml:space="preserve">Familie und Arbeitszeit </w:t>
      </w:r>
      <w:r w:rsidR="004B0692" w:rsidRPr="00CE5BEA">
        <w:rPr>
          <w:rFonts w:eastAsia="Times New Roman"/>
          <w:szCs w:val="20"/>
          <w:lang w:eastAsia="de-DE"/>
        </w:rPr>
        <w:t xml:space="preserve">in Einklang zu bringen, kann </w:t>
      </w:r>
      <w:r w:rsidRPr="00CE5BEA">
        <w:rPr>
          <w:rFonts w:eastAsia="Times New Roman"/>
          <w:szCs w:val="20"/>
          <w:lang w:eastAsia="de-DE"/>
        </w:rPr>
        <w:t>schon mal zum</w:t>
      </w:r>
      <w:r w:rsidR="004B0692" w:rsidRPr="00CE5BEA">
        <w:rPr>
          <w:rFonts w:eastAsia="Times New Roman"/>
          <w:szCs w:val="20"/>
          <w:lang w:eastAsia="de-DE"/>
        </w:rPr>
        <w:t xml:space="preserve"> Balance</w:t>
      </w:r>
      <w:r w:rsidRPr="00CE5BEA">
        <w:rPr>
          <w:rFonts w:eastAsia="Times New Roman"/>
          <w:szCs w:val="20"/>
          <w:lang w:eastAsia="de-DE"/>
        </w:rPr>
        <w:t>ak</w:t>
      </w:r>
      <w:r w:rsidR="003B3B2D" w:rsidRPr="00CE5BEA">
        <w:rPr>
          <w:rFonts w:eastAsia="Times New Roman"/>
          <w:szCs w:val="20"/>
          <w:lang w:eastAsia="de-DE"/>
        </w:rPr>
        <w:t xml:space="preserve">t werden. Und noch vor </w:t>
      </w:r>
      <w:r w:rsidR="00D36609" w:rsidRPr="00CE5BEA">
        <w:rPr>
          <w:rFonts w:eastAsia="Times New Roman"/>
          <w:szCs w:val="20"/>
          <w:lang w:eastAsia="de-DE"/>
        </w:rPr>
        <w:t xml:space="preserve">einer guten Organisation des meist turbulenten Alltags </w:t>
      </w:r>
      <w:r w:rsidR="00B97BF8">
        <w:rPr>
          <w:rFonts w:eastAsia="Times New Roman"/>
          <w:szCs w:val="20"/>
          <w:lang w:eastAsia="de-DE"/>
        </w:rPr>
        <w:t xml:space="preserve">mit Kindern </w:t>
      </w:r>
      <w:r w:rsidR="00D36609" w:rsidRPr="00CE5BEA">
        <w:rPr>
          <w:rFonts w:eastAsia="Times New Roman"/>
          <w:szCs w:val="20"/>
          <w:lang w:eastAsia="de-DE"/>
        </w:rPr>
        <w:t>s</w:t>
      </w:r>
      <w:r w:rsidR="003B3B2D" w:rsidRPr="00CE5BEA">
        <w:rPr>
          <w:rFonts w:eastAsia="Times New Roman"/>
          <w:szCs w:val="20"/>
          <w:lang w:eastAsia="de-DE"/>
        </w:rPr>
        <w:t>teht</w:t>
      </w:r>
      <w:r w:rsidR="00D36609" w:rsidRPr="00CE5BEA">
        <w:rPr>
          <w:rFonts w:eastAsia="Times New Roman"/>
          <w:szCs w:val="20"/>
          <w:lang w:eastAsia="de-DE"/>
        </w:rPr>
        <w:t xml:space="preserve"> für viele Berufstätige </w:t>
      </w:r>
      <w:r w:rsidR="003B3B2D" w:rsidRPr="00CE5BEA">
        <w:rPr>
          <w:rFonts w:eastAsia="Times New Roman"/>
          <w:szCs w:val="20"/>
          <w:lang w:eastAsia="de-DE"/>
        </w:rPr>
        <w:t>die Fra</w:t>
      </w:r>
      <w:r w:rsidR="00D36609" w:rsidRPr="00CE5BEA">
        <w:rPr>
          <w:rFonts w:eastAsia="Times New Roman"/>
          <w:szCs w:val="20"/>
          <w:lang w:eastAsia="de-DE"/>
        </w:rPr>
        <w:t xml:space="preserve">ge, </w:t>
      </w:r>
      <w:r w:rsidR="009B1D04" w:rsidRPr="00CE5BEA">
        <w:rPr>
          <w:rFonts w:eastAsia="Times New Roman"/>
          <w:szCs w:val="20"/>
          <w:lang w:eastAsia="de-DE"/>
        </w:rPr>
        <w:t xml:space="preserve">wie sich ihr Leben nach einer Familiengründung überhaupt gestalten lässt, welche Wiedereinstiegsmöglichkeiten und Chancen auf Führungspositionen es </w:t>
      </w:r>
      <w:r w:rsidR="00023CC1">
        <w:rPr>
          <w:rFonts w:eastAsia="Times New Roman"/>
          <w:szCs w:val="20"/>
          <w:lang w:eastAsia="de-DE"/>
        </w:rPr>
        <w:t xml:space="preserve">zum Beispiel </w:t>
      </w:r>
      <w:r w:rsidR="009B1D04" w:rsidRPr="00CE5BEA">
        <w:rPr>
          <w:rFonts w:eastAsia="Times New Roman"/>
          <w:szCs w:val="20"/>
          <w:lang w:eastAsia="de-DE"/>
        </w:rPr>
        <w:t xml:space="preserve">gibt. Für Angebote wie Teilzeitarbeit, flexible Arbeitszeiten, </w:t>
      </w:r>
      <w:r w:rsidR="0005157B">
        <w:rPr>
          <w:rFonts w:eastAsia="Times New Roman"/>
          <w:szCs w:val="20"/>
          <w:lang w:eastAsia="de-DE"/>
        </w:rPr>
        <w:t xml:space="preserve">Unterstützung bei der Pflege von Angehörigen </w:t>
      </w:r>
      <w:r w:rsidR="00C54CC7" w:rsidRPr="00CE5BEA">
        <w:rPr>
          <w:rFonts w:eastAsia="Times New Roman"/>
          <w:szCs w:val="20"/>
          <w:lang w:eastAsia="de-DE"/>
        </w:rPr>
        <w:t xml:space="preserve">oder </w:t>
      </w:r>
      <w:r w:rsidR="00023CC1">
        <w:rPr>
          <w:rFonts w:eastAsia="Times New Roman"/>
          <w:szCs w:val="20"/>
          <w:lang w:eastAsia="de-DE"/>
        </w:rPr>
        <w:t xml:space="preserve">die </w:t>
      </w:r>
      <w:r w:rsidR="009B1D04" w:rsidRPr="00CE5BEA">
        <w:rPr>
          <w:rFonts w:eastAsia="Times New Roman"/>
          <w:szCs w:val="20"/>
          <w:lang w:eastAsia="de-DE"/>
        </w:rPr>
        <w:t xml:space="preserve">Organisation und Vermittlung von </w:t>
      </w:r>
      <w:r w:rsidR="00C54CC7" w:rsidRPr="00CE5BEA">
        <w:rPr>
          <w:rFonts w:eastAsia="Times New Roman"/>
          <w:szCs w:val="20"/>
          <w:lang w:eastAsia="de-DE"/>
        </w:rPr>
        <w:t>Kinderbetre</w:t>
      </w:r>
      <w:r w:rsidR="00C54CC7" w:rsidRPr="00CE5BEA">
        <w:rPr>
          <w:rFonts w:eastAsia="Times New Roman"/>
          <w:szCs w:val="20"/>
          <w:lang w:eastAsia="de-DE"/>
        </w:rPr>
        <w:t>u</w:t>
      </w:r>
      <w:r w:rsidR="00C54CC7" w:rsidRPr="00CE5BEA">
        <w:rPr>
          <w:rFonts w:eastAsia="Times New Roman"/>
          <w:szCs w:val="20"/>
          <w:lang w:eastAsia="de-DE"/>
        </w:rPr>
        <w:t>ungen</w:t>
      </w:r>
      <w:r w:rsidR="009B1D04" w:rsidRPr="00CE5BEA">
        <w:rPr>
          <w:rFonts w:eastAsia="Times New Roman"/>
          <w:szCs w:val="20"/>
          <w:lang w:eastAsia="de-DE"/>
        </w:rPr>
        <w:t xml:space="preserve"> ist die Stahlsparte von thyssenkrupp n</w:t>
      </w:r>
      <w:r w:rsidR="00B97BF8">
        <w:rPr>
          <w:rFonts w:eastAsia="Times New Roman"/>
          <w:szCs w:val="20"/>
          <w:lang w:eastAsia="de-DE"/>
        </w:rPr>
        <w:t>un von dem „</w:t>
      </w:r>
      <w:r w:rsidR="00C54CC7" w:rsidRPr="00CE5BEA">
        <w:rPr>
          <w:rFonts w:eastAsia="Times New Roman"/>
          <w:szCs w:val="20"/>
          <w:lang w:eastAsia="de-DE"/>
        </w:rPr>
        <w:t xml:space="preserve">Lokalen </w:t>
      </w:r>
      <w:r w:rsidR="00B97BF8">
        <w:rPr>
          <w:rFonts w:eastAsia="Times New Roman"/>
          <w:szCs w:val="20"/>
          <w:lang w:eastAsia="de-DE"/>
        </w:rPr>
        <w:t>Bündnis für Familie Duisburg“</w:t>
      </w:r>
      <w:r w:rsidR="00C54CC7" w:rsidRPr="00CE5BEA">
        <w:rPr>
          <w:rFonts w:eastAsia="Times New Roman"/>
          <w:szCs w:val="20"/>
          <w:lang w:eastAsia="de-DE"/>
        </w:rPr>
        <w:t xml:space="preserve"> für ihre besonders vorbildhafte Unterstützung vor, während und nach der Famil</w:t>
      </w:r>
      <w:r w:rsidR="00C54CC7" w:rsidRPr="00CE5BEA">
        <w:rPr>
          <w:rFonts w:eastAsia="Times New Roman"/>
          <w:szCs w:val="20"/>
          <w:lang w:eastAsia="de-DE"/>
        </w:rPr>
        <w:t>i</w:t>
      </w:r>
      <w:r w:rsidR="00C54CC7" w:rsidRPr="00CE5BEA">
        <w:rPr>
          <w:rFonts w:eastAsia="Times New Roman"/>
          <w:szCs w:val="20"/>
          <w:lang w:eastAsia="de-DE"/>
        </w:rPr>
        <w:t>engründung</w:t>
      </w:r>
      <w:r w:rsidR="00023CC1">
        <w:rPr>
          <w:rFonts w:eastAsia="Times New Roman"/>
          <w:szCs w:val="20"/>
          <w:lang w:eastAsia="de-DE"/>
        </w:rPr>
        <w:t xml:space="preserve"> ausgezeic</w:t>
      </w:r>
      <w:r w:rsidR="00023CC1">
        <w:rPr>
          <w:rFonts w:eastAsia="Times New Roman"/>
          <w:szCs w:val="20"/>
          <w:lang w:eastAsia="de-DE"/>
        </w:rPr>
        <w:t>h</w:t>
      </w:r>
      <w:r w:rsidR="00023CC1">
        <w:rPr>
          <w:rFonts w:eastAsia="Times New Roman"/>
          <w:szCs w:val="20"/>
          <w:lang w:eastAsia="de-DE"/>
        </w:rPr>
        <w:t>net worden</w:t>
      </w:r>
      <w:r w:rsidR="00C54CC7" w:rsidRPr="00CE5BEA">
        <w:rPr>
          <w:rFonts w:eastAsia="Times New Roman"/>
          <w:szCs w:val="20"/>
          <w:lang w:eastAsia="de-DE"/>
        </w:rPr>
        <w:t>.</w:t>
      </w:r>
      <w:r w:rsidR="00C91AA7">
        <w:rPr>
          <w:rFonts w:eastAsia="Times New Roman"/>
          <w:szCs w:val="20"/>
          <w:lang w:eastAsia="de-DE"/>
        </w:rPr>
        <w:t xml:space="preserve"> </w:t>
      </w:r>
    </w:p>
    <w:p w:rsidR="007476F7" w:rsidRPr="00CE5BEA" w:rsidRDefault="007476F7" w:rsidP="004B0692">
      <w:pPr>
        <w:spacing w:line="360" w:lineRule="auto"/>
        <w:jc w:val="both"/>
        <w:rPr>
          <w:rFonts w:eastAsia="Times New Roman"/>
          <w:szCs w:val="20"/>
          <w:lang w:eastAsia="de-DE"/>
        </w:rPr>
      </w:pPr>
    </w:p>
    <w:p w:rsidR="009D2862" w:rsidRDefault="002D08A2" w:rsidP="004B0692">
      <w:pPr>
        <w:spacing w:line="360" w:lineRule="auto"/>
        <w:jc w:val="both"/>
        <w:rPr>
          <w:rFonts w:eastAsia="Times New Roman"/>
          <w:b/>
          <w:szCs w:val="20"/>
          <w:lang w:eastAsia="de-DE"/>
        </w:rPr>
      </w:pPr>
      <w:r w:rsidRPr="00CE5BEA">
        <w:rPr>
          <w:rFonts w:eastAsia="Times New Roman"/>
          <w:b/>
          <w:szCs w:val="20"/>
          <w:lang w:eastAsia="de-DE"/>
        </w:rPr>
        <w:t xml:space="preserve">Familien brauchen flexible Arbeitsmodelle </w:t>
      </w:r>
    </w:p>
    <w:p w:rsidR="009B1D04" w:rsidRPr="00CE5BEA" w:rsidRDefault="009B1D04" w:rsidP="004B0692">
      <w:pPr>
        <w:spacing w:line="360" w:lineRule="auto"/>
        <w:jc w:val="both"/>
        <w:rPr>
          <w:rFonts w:eastAsia="Times New Roman"/>
          <w:szCs w:val="20"/>
          <w:lang w:eastAsia="de-DE"/>
        </w:rPr>
      </w:pPr>
      <w:r w:rsidRPr="00CE5BEA">
        <w:rPr>
          <w:rFonts w:eastAsia="Times New Roman"/>
          <w:szCs w:val="20"/>
          <w:lang w:eastAsia="de-DE"/>
        </w:rPr>
        <w:t xml:space="preserve">„Das eine Kind muss in die KiTa, das andere ist </w:t>
      </w:r>
      <w:r w:rsidR="003A6FBB" w:rsidRPr="00CE5BEA">
        <w:rPr>
          <w:rFonts w:eastAsia="Times New Roman"/>
          <w:szCs w:val="20"/>
          <w:lang w:eastAsia="de-DE"/>
        </w:rPr>
        <w:t>aber</w:t>
      </w:r>
      <w:r w:rsidRPr="00CE5BEA">
        <w:rPr>
          <w:rFonts w:eastAsia="Times New Roman"/>
          <w:szCs w:val="20"/>
          <w:lang w:eastAsia="de-DE"/>
        </w:rPr>
        <w:t xml:space="preserve"> plötzlich erkrankt</w:t>
      </w:r>
      <w:r w:rsidR="00C05D62">
        <w:rPr>
          <w:rFonts w:eastAsia="Times New Roman"/>
          <w:szCs w:val="20"/>
          <w:lang w:eastAsia="de-DE"/>
        </w:rPr>
        <w:t>,</w:t>
      </w:r>
      <w:r w:rsidRPr="00CE5BEA">
        <w:rPr>
          <w:rFonts w:eastAsia="Times New Roman"/>
          <w:szCs w:val="20"/>
          <w:lang w:eastAsia="de-DE"/>
        </w:rPr>
        <w:t xml:space="preserve"> und ich muss pünktlich zu einem wichtigen Termin“</w:t>
      </w:r>
      <w:r w:rsidR="00C54CC7" w:rsidRPr="00CE5BEA">
        <w:rPr>
          <w:rFonts w:eastAsia="Times New Roman"/>
          <w:szCs w:val="20"/>
          <w:lang w:eastAsia="de-DE"/>
        </w:rPr>
        <w:t>, beschreibt Jennifer Blank eine typische Alltagssitu</w:t>
      </w:r>
      <w:r w:rsidR="00C54CC7" w:rsidRPr="00CE5BEA">
        <w:rPr>
          <w:rFonts w:eastAsia="Times New Roman"/>
          <w:szCs w:val="20"/>
          <w:lang w:eastAsia="de-DE"/>
        </w:rPr>
        <w:t>a</w:t>
      </w:r>
      <w:r w:rsidR="003A6FBB" w:rsidRPr="00CE5BEA">
        <w:rPr>
          <w:rFonts w:eastAsia="Times New Roman"/>
          <w:szCs w:val="20"/>
          <w:lang w:eastAsia="de-DE"/>
        </w:rPr>
        <w:t>tion. Die thyssenkrupp-</w:t>
      </w:r>
      <w:r w:rsidR="00C54CC7" w:rsidRPr="00CE5BEA">
        <w:rPr>
          <w:rFonts w:eastAsia="Times New Roman"/>
          <w:szCs w:val="20"/>
          <w:lang w:eastAsia="de-DE"/>
        </w:rPr>
        <w:t>Mitarbeiterin ist Mutter zweier Kinder</w:t>
      </w:r>
      <w:r w:rsidR="003A6FBB" w:rsidRPr="00CE5BEA">
        <w:rPr>
          <w:rFonts w:eastAsia="Times New Roman"/>
          <w:szCs w:val="20"/>
          <w:lang w:eastAsia="de-DE"/>
        </w:rPr>
        <w:t xml:space="preserve"> und hat „eigentlich</w:t>
      </w:r>
      <w:r w:rsidR="002D08A2" w:rsidRPr="00CE5BEA">
        <w:rPr>
          <w:rFonts w:eastAsia="Times New Roman"/>
          <w:szCs w:val="20"/>
          <w:lang w:eastAsia="de-DE"/>
        </w:rPr>
        <w:t xml:space="preserve"> fast</w:t>
      </w:r>
      <w:r w:rsidR="003A6FBB" w:rsidRPr="00CE5BEA">
        <w:rPr>
          <w:rFonts w:eastAsia="Times New Roman"/>
          <w:szCs w:val="20"/>
          <w:lang w:eastAsia="de-DE"/>
        </w:rPr>
        <w:t xml:space="preserve"> alle Angebote des Unternehmens für Eltern genutzt“, so die 36-Jährige. Nach der Geburt der Kinder nahm sie jeweils ein Jahr Elternzeit und arbeitet heute mit flexiblen Arbeitszeiten in der Personalabteilung. Ihr sechsjähriger Sohn Jacob und die dreijährige Tochter Ella we</w:t>
      </w:r>
      <w:r w:rsidR="003A6FBB" w:rsidRPr="00CE5BEA">
        <w:rPr>
          <w:rFonts w:eastAsia="Times New Roman"/>
          <w:szCs w:val="20"/>
          <w:lang w:eastAsia="de-DE"/>
        </w:rPr>
        <w:t>r</w:t>
      </w:r>
      <w:r w:rsidR="003A6FBB" w:rsidRPr="00CE5BEA">
        <w:rPr>
          <w:rFonts w:eastAsia="Times New Roman"/>
          <w:szCs w:val="20"/>
          <w:lang w:eastAsia="de-DE"/>
        </w:rPr>
        <w:t>den beide in der</w:t>
      </w:r>
      <w:r w:rsidR="006E5157">
        <w:rPr>
          <w:rFonts w:eastAsia="Times New Roman"/>
          <w:szCs w:val="20"/>
          <w:lang w:eastAsia="de-DE"/>
        </w:rPr>
        <w:t xml:space="preserve"> betrieblichen</w:t>
      </w:r>
      <w:r w:rsidR="003A6FBB" w:rsidRPr="00CE5BEA">
        <w:rPr>
          <w:rFonts w:eastAsia="Times New Roman"/>
          <w:szCs w:val="20"/>
          <w:lang w:eastAsia="de-DE"/>
        </w:rPr>
        <w:t xml:space="preserve"> Kindertagesstätte „Stahlsternchen“ betreut</w:t>
      </w:r>
      <w:r w:rsidR="002D08A2" w:rsidRPr="00CE5BEA">
        <w:rPr>
          <w:rFonts w:eastAsia="Times New Roman"/>
          <w:szCs w:val="20"/>
          <w:lang w:eastAsia="de-DE"/>
        </w:rPr>
        <w:t>. Ist</w:t>
      </w:r>
      <w:r w:rsidR="003A6FBB" w:rsidRPr="00CE5BEA">
        <w:rPr>
          <w:rFonts w:eastAsia="Times New Roman"/>
          <w:szCs w:val="20"/>
          <w:lang w:eastAsia="de-DE"/>
        </w:rPr>
        <w:t xml:space="preserve"> ein Kind ei</w:t>
      </w:r>
      <w:r w:rsidR="003A6FBB" w:rsidRPr="00CE5BEA">
        <w:rPr>
          <w:rFonts w:eastAsia="Times New Roman"/>
          <w:szCs w:val="20"/>
          <w:lang w:eastAsia="de-DE"/>
        </w:rPr>
        <w:t>n</w:t>
      </w:r>
      <w:r w:rsidR="003A6FBB" w:rsidRPr="00CE5BEA">
        <w:rPr>
          <w:rFonts w:eastAsia="Times New Roman"/>
          <w:szCs w:val="20"/>
          <w:lang w:eastAsia="de-DE"/>
        </w:rPr>
        <w:t xml:space="preserve">mal krank und muss kurzfristig versorgt werden, </w:t>
      </w:r>
      <w:r w:rsidR="006E5157" w:rsidRPr="006E5157">
        <w:rPr>
          <w:rFonts w:eastAsia="Times New Roman"/>
          <w:szCs w:val="20"/>
          <w:lang w:eastAsia="de-DE"/>
        </w:rPr>
        <w:t xml:space="preserve">greift </w:t>
      </w:r>
      <w:r w:rsidR="006E5157">
        <w:rPr>
          <w:rFonts w:eastAsia="Times New Roman"/>
          <w:szCs w:val="20"/>
          <w:lang w:eastAsia="de-DE"/>
        </w:rPr>
        <w:t>das</w:t>
      </w:r>
      <w:r w:rsidR="006E5157" w:rsidRPr="006E5157">
        <w:rPr>
          <w:rFonts w:eastAsia="Times New Roman"/>
          <w:szCs w:val="20"/>
          <w:lang w:eastAsia="de-DE"/>
        </w:rPr>
        <w:t xml:space="preserve"> Angebot der bezahlten Freiste</w:t>
      </w:r>
      <w:r w:rsidR="006E5157" w:rsidRPr="006E5157">
        <w:rPr>
          <w:rFonts w:eastAsia="Times New Roman"/>
          <w:szCs w:val="20"/>
          <w:lang w:eastAsia="de-DE"/>
        </w:rPr>
        <w:t>l</w:t>
      </w:r>
      <w:r w:rsidR="006E5157" w:rsidRPr="006E5157">
        <w:rPr>
          <w:rFonts w:eastAsia="Times New Roman"/>
          <w:szCs w:val="20"/>
          <w:lang w:eastAsia="de-DE"/>
        </w:rPr>
        <w:t>l</w:t>
      </w:r>
      <w:r w:rsidR="006E5157">
        <w:rPr>
          <w:rFonts w:eastAsia="Times New Roman"/>
          <w:szCs w:val="20"/>
          <w:lang w:eastAsia="de-DE"/>
        </w:rPr>
        <w:t>ung bei der Pflege von Angehöri</w:t>
      </w:r>
      <w:r w:rsidR="006E5157" w:rsidRPr="006E5157">
        <w:rPr>
          <w:rFonts w:eastAsia="Times New Roman"/>
          <w:szCs w:val="20"/>
          <w:lang w:eastAsia="de-DE"/>
        </w:rPr>
        <w:t>gen</w:t>
      </w:r>
      <w:r w:rsidR="006E5157">
        <w:rPr>
          <w:rFonts w:eastAsia="Times New Roman"/>
          <w:szCs w:val="20"/>
          <w:lang w:eastAsia="de-DE"/>
        </w:rPr>
        <w:t xml:space="preserve">. </w:t>
      </w:r>
      <w:r w:rsidR="002D08A2" w:rsidRPr="00CE5BEA">
        <w:rPr>
          <w:rFonts w:eastAsia="Times New Roman"/>
          <w:szCs w:val="20"/>
          <w:lang w:eastAsia="de-DE"/>
        </w:rPr>
        <w:t xml:space="preserve">Nach seinem nächsten Geburtstag </w:t>
      </w:r>
      <w:r w:rsidR="00C05D62">
        <w:rPr>
          <w:rFonts w:eastAsia="Times New Roman"/>
          <w:szCs w:val="20"/>
          <w:lang w:eastAsia="de-DE"/>
        </w:rPr>
        <w:t>könnte</w:t>
      </w:r>
      <w:r w:rsidR="002D08A2" w:rsidRPr="00CE5BEA">
        <w:rPr>
          <w:rFonts w:eastAsia="Times New Roman"/>
          <w:szCs w:val="20"/>
          <w:lang w:eastAsia="de-DE"/>
        </w:rPr>
        <w:t xml:space="preserve"> Jacob bis zum 12. Lebensjahr an einer von thyssenkrupp organisierten Ferienbetreu</w:t>
      </w:r>
      <w:r w:rsidR="00C05D62">
        <w:rPr>
          <w:rFonts w:eastAsia="Times New Roman"/>
          <w:szCs w:val="20"/>
          <w:lang w:eastAsia="de-DE"/>
        </w:rPr>
        <w:t xml:space="preserve">ung </w:t>
      </w:r>
      <w:r w:rsidR="002D08A2" w:rsidRPr="00CE5BEA">
        <w:rPr>
          <w:rFonts w:eastAsia="Times New Roman"/>
          <w:szCs w:val="20"/>
          <w:lang w:eastAsia="de-DE"/>
        </w:rPr>
        <w:t xml:space="preserve">teilnehmen. </w:t>
      </w:r>
    </w:p>
    <w:p w:rsidR="002D08A2" w:rsidRPr="00CE5BEA" w:rsidRDefault="002D08A2" w:rsidP="004B0692">
      <w:pPr>
        <w:spacing w:line="360" w:lineRule="auto"/>
        <w:jc w:val="both"/>
        <w:rPr>
          <w:rFonts w:eastAsia="Times New Roman"/>
          <w:szCs w:val="20"/>
          <w:lang w:eastAsia="de-DE"/>
        </w:rPr>
      </w:pPr>
    </w:p>
    <w:p w:rsidR="00CE5BEA" w:rsidRDefault="002D08A2" w:rsidP="00CE5BEA">
      <w:pPr>
        <w:spacing w:line="360" w:lineRule="auto"/>
        <w:jc w:val="both"/>
        <w:rPr>
          <w:rFonts w:eastAsia="Times New Roman"/>
          <w:szCs w:val="20"/>
          <w:lang w:eastAsia="de-DE"/>
        </w:rPr>
      </w:pPr>
      <w:r w:rsidRPr="00CE5BEA">
        <w:rPr>
          <w:rFonts w:eastAsia="Times New Roman"/>
          <w:szCs w:val="20"/>
          <w:lang w:eastAsia="de-DE"/>
        </w:rPr>
        <w:t>„</w:t>
      </w:r>
      <w:r w:rsidR="002737E3" w:rsidRPr="00CE5BEA">
        <w:rPr>
          <w:rFonts w:eastAsia="Times New Roman"/>
          <w:szCs w:val="20"/>
          <w:lang w:eastAsia="de-DE"/>
        </w:rPr>
        <w:t>Familienfreundlichkeit ist eines der stärksten Argumente im Wettbewerb um die besten Fachkräfte. Wir profitieren davon, für Mitarbeiter in unterschiedlichen Lebensphasen attra</w:t>
      </w:r>
      <w:r w:rsidR="002737E3" w:rsidRPr="00CE5BEA">
        <w:rPr>
          <w:rFonts w:eastAsia="Times New Roman"/>
          <w:szCs w:val="20"/>
          <w:lang w:eastAsia="de-DE"/>
        </w:rPr>
        <w:t>k</w:t>
      </w:r>
      <w:r w:rsidR="002737E3" w:rsidRPr="00CE5BEA">
        <w:rPr>
          <w:rFonts w:eastAsia="Times New Roman"/>
          <w:szCs w:val="20"/>
          <w:lang w:eastAsia="de-DE"/>
        </w:rPr>
        <w:t xml:space="preserve">tiv zu sein und so langjähriges </w:t>
      </w:r>
      <w:proofErr w:type="spellStart"/>
      <w:r w:rsidR="002737E3" w:rsidRPr="00CE5BEA">
        <w:rPr>
          <w:rFonts w:eastAsia="Times New Roman"/>
          <w:szCs w:val="20"/>
          <w:lang w:eastAsia="de-DE"/>
        </w:rPr>
        <w:t>Know-How</w:t>
      </w:r>
      <w:proofErr w:type="spellEnd"/>
      <w:r w:rsidR="002737E3" w:rsidRPr="00CE5BEA">
        <w:rPr>
          <w:rFonts w:eastAsia="Times New Roman"/>
          <w:szCs w:val="20"/>
          <w:lang w:eastAsia="de-DE"/>
        </w:rPr>
        <w:t xml:space="preserve"> im Haus zu behalten“ erklärt Klaus Bailer, Leiter des Personalbereichs in der Stahlsparte von thyssenkrupp</w:t>
      </w:r>
      <w:r w:rsidR="00B97BF8">
        <w:rPr>
          <w:rFonts w:eastAsia="Times New Roman"/>
          <w:szCs w:val="20"/>
          <w:lang w:eastAsia="de-DE"/>
        </w:rPr>
        <w:t xml:space="preserve"> und fügt hinzu:</w:t>
      </w:r>
      <w:r w:rsidR="002737E3" w:rsidRPr="00CE5BEA">
        <w:rPr>
          <w:rFonts w:eastAsia="Times New Roman"/>
          <w:szCs w:val="20"/>
          <w:lang w:eastAsia="de-DE"/>
        </w:rPr>
        <w:t xml:space="preserve"> „</w:t>
      </w:r>
      <w:r w:rsidR="00276FF1" w:rsidRPr="00CE5BEA">
        <w:rPr>
          <w:rFonts w:eastAsia="Times New Roman"/>
          <w:szCs w:val="20"/>
          <w:lang w:eastAsia="de-DE"/>
        </w:rPr>
        <w:t>Der demograf</w:t>
      </w:r>
      <w:r w:rsidR="00276FF1" w:rsidRPr="00CE5BEA">
        <w:rPr>
          <w:rFonts w:eastAsia="Times New Roman"/>
          <w:szCs w:val="20"/>
          <w:lang w:eastAsia="de-DE"/>
        </w:rPr>
        <w:t>i</w:t>
      </w:r>
      <w:r w:rsidR="00276FF1" w:rsidRPr="00CE5BEA">
        <w:rPr>
          <w:rFonts w:eastAsia="Times New Roman"/>
          <w:szCs w:val="20"/>
          <w:lang w:eastAsia="de-DE"/>
        </w:rPr>
        <w:t xml:space="preserve">sche Wandel betrifft uns alle. Auch deshalb bieten wir viel, um die Vereinbarkeit von Familie und Beruf zu ermöglichen.“ </w:t>
      </w:r>
    </w:p>
    <w:p w:rsidR="00C05D62" w:rsidRDefault="00C05D62" w:rsidP="00CE5BEA">
      <w:pPr>
        <w:spacing w:line="360" w:lineRule="auto"/>
        <w:jc w:val="both"/>
        <w:rPr>
          <w:rFonts w:eastAsia="Times New Roman"/>
          <w:szCs w:val="20"/>
          <w:lang w:eastAsia="de-DE"/>
        </w:rPr>
      </w:pPr>
      <w:bookmarkStart w:id="0" w:name="_GoBack"/>
      <w:bookmarkEnd w:id="0"/>
      <w:r>
        <w:rPr>
          <w:rFonts w:eastAsia="Times New Roman"/>
          <w:szCs w:val="20"/>
          <w:lang w:eastAsia="de-DE"/>
        </w:rPr>
        <w:lastRenderedPageBreak/>
        <w:t xml:space="preserve">Das </w:t>
      </w:r>
      <w:r w:rsidR="00B97BF8">
        <w:rPr>
          <w:rFonts w:eastAsia="Times New Roman"/>
          <w:szCs w:val="20"/>
          <w:lang w:eastAsia="de-DE"/>
        </w:rPr>
        <w:t>„</w:t>
      </w:r>
      <w:r>
        <w:rPr>
          <w:rFonts w:eastAsia="Times New Roman"/>
          <w:szCs w:val="20"/>
          <w:lang w:eastAsia="de-DE"/>
        </w:rPr>
        <w:t>Lokale Bündnis für Familie</w:t>
      </w:r>
      <w:r w:rsidR="00B97BF8">
        <w:rPr>
          <w:rFonts w:eastAsia="Times New Roman"/>
          <w:szCs w:val="20"/>
          <w:lang w:eastAsia="de-DE"/>
        </w:rPr>
        <w:t xml:space="preserve"> Duisburg“ </w:t>
      </w:r>
      <w:r>
        <w:rPr>
          <w:rFonts w:eastAsia="Times New Roman"/>
          <w:szCs w:val="20"/>
          <w:lang w:eastAsia="de-DE"/>
        </w:rPr>
        <w:t xml:space="preserve"> verleiht den Preis einmal pro Jahr. Ihm gehören unter anderem die Stadt Duisburg, der Unternehmerverband Duisburg e.V. und die Niede</w:t>
      </w:r>
      <w:r>
        <w:rPr>
          <w:rFonts w:eastAsia="Times New Roman"/>
          <w:szCs w:val="20"/>
          <w:lang w:eastAsia="de-DE"/>
        </w:rPr>
        <w:t>r</w:t>
      </w:r>
      <w:r>
        <w:rPr>
          <w:rFonts w:eastAsia="Times New Roman"/>
          <w:szCs w:val="20"/>
          <w:lang w:eastAsia="de-DE"/>
        </w:rPr>
        <w:t>rheinische Industrie- und Handelskammer Dui</w:t>
      </w:r>
      <w:r w:rsidR="00B97BF8">
        <w:rPr>
          <w:rFonts w:eastAsia="Times New Roman"/>
          <w:szCs w:val="20"/>
          <w:lang w:eastAsia="de-DE"/>
        </w:rPr>
        <w:t>sburg, Wesel, Kleve zu Duisburg</w:t>
      </w:r>
      <w:r>
        <w:rPr>
          <w:rFonts w:eastAsia="Times New Roman"/>
          <w:szCs w:val="20"/>
          <w:lang w:eastAsia="de-DE"/>
        </w:rPr>
        <w:t xml:space="preserve"> an. </w:t>
      </w:r>
    </w:p>
    <w:p w:rsidR="00C05D62" w:rsidRPr="00CE5BEA" w:rsidRDefault="00C05D62" w:rsidP="00CE5BEA">
      <w:pPr>
        <w:spacing w:line="360" w:lineRule="auto"/>
        <w:jc w:val="both"/>
        <w:rPr>
          <w:rFonts w:eastAsia="Times New Roman"/>
          <w:szCs w:val="20"/>
          <w:lang w:eastAsia="de-DE"/>
        </w:rPr>
      </w:pPr>
    </w:p>
    <w:p w:rsidR="00CE5BEA" w:rsidRPr="00023CC1" w:rsidRDefault="00CE5BEA" w:rsidP="00023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b/>
          <w:szCs w:val="20"/>
        </w:rPr>
      </w:pPr>
      <w:r w:rsidRPr="00023CC1">
        <w:rPr>
          <w:rFonts w:cs="Arial"/>
          <w:b/>
          <w:szCs w:val="20"/>
        </w:rPr>
        <w:t>Möglichkeiten für Mitarbeiter in allen Lebensphasen</w:t>
      </w:r>
    </w:p>
    <w:p w:rsidR="00023CC1" w:rsidRDefault="00CE5BEA" w:rsidP="00023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Die Angebote für Familien sind Teil eines </w:t>
      </w:r>
      <w:r w:rsidR="00023CC1">
        <w:rPr>
          <w:rFonts w:cs="Arial"/>
          <w:szCs w:val="20"/>
        </w:rPr>
        <w:t>ganzheitlichen Programms im Stahlbereich von thyssenkrupp. Mit „</w:t>
      </w:r>
      <w:proofErr w:type="spellStart"/>
      <w:r w:rsidR="00023CC1">
        <w:rPr>
          <w:rFonts w:cs="Arial"/>
          <w:szCs w:val="20"/>
        </w:rPr>
        <w:t>ProZukunft</w:t>
      </w:r>
      <w:proofErr w:type="spellEnd"/>
      <w:r w:rsidR="00023CC1">
        <w:rPr>
          <w:rFonts w:cs="Arial"/>
          <w:szCs w:val="20"/>
        </w:rPr>
        <w:t xml:space="preserve">“ begegnet das Unternehmen </w:t>
      </w:r>
      <w:r w:rsidRPr="00CE5BEA">
        <w:rPr>
          <w:rFonts w:cs="Arial"/>
          <w:szCs w:val="20"/>
        </w:rPr>
        <w:t>nachhaltig den Herausford</w:t>
      </w:r>
      <w:r w:rsidRPr="00CE5BEA">
        <w:rPr>
          <w:rFonts w:cs="Arial"/>
          <w:szCs w:val="20"/>
        </w:rPr>
        <w:t>e</w:t>
      </w:r>
      <w:r w:rsidRPr="00CE5BEA">
        <w:rPr>
          <w:rFonts w:cs="Arial"/>
          <w:szCs w:val="20"/>
        </w:rPr>
        <w:t>rungen des demografischen Wandels</w:t>
      </w:r>
      <w:r w:rsidR="00023CC1">
        <w:rPr>
          <w:rFonts w:cs="Arial"/>
          <w:szCs w:val="20"/>
        </w:rPr>
        <w:t xml:space="preserve"> auf mehreren Ebenen. </w:t>
      </w:r>
      <w:r w:rsidRPr="00CE5BEA">
        <w:rPr>
          <w:rFonts w:cs="Arial"/>
          <w:szCs w:val="20"/>
        </w:rPr>
        <w:t>Auf Grundlage regelmäßiger Alters</w:t>
      </w:r>
      <w:r w:rsidR="00023CC1">
        <w:rPr>
          <w:rFonts w:cs="Arial"/>
          <w:szCs w:val="20"/>
        </w:rPr>
        <w:t>s</w:t>
      </w:r>
      <w:r w:rsidRPr="00CE5BEA">
        <w:rPr>
          <w:rFonts w:cs="Arial"/>
          <w:szCs w:val="20"/>
        </w:rPr>
        <w:t xml:space="preserve">trukturanalysen der Belegschaft </w:t>
      </w:r>
      <w:r w:rsidR="00023CC1">
        <w:rPr>
          <w:rFonts w:cs="Arial"/>
          <w:szCs w:val="20"/>
        </w:rPr>
        <w:t>werden passende Angebote entwickelt. Zu diesen gehören: die Ausbildung junger Fachkräfte, das Wissensmanagement innerhalb des Unte</w:t>
      </w:r>
      <w:r w:rsidR="00023CC1">
        <w:rPr>
          <w:rFonts w:cs="Arial"/>
          <w:szCs w:val="20"/>
        </w:rPr>
        <w:t>r</w:t>
      </w:r>
      <w:r w:rsidR="00023CC1">
        <w:rPr>
          <w:rFonts w:cs="Arial"/>
          <w:szCs w:val="20"/>
        </w:rPr>
        <w:t>nehmens, vor allem von älteren Mitarbeitern zu jüngeren, lebenslanges Lernen durch We</w:t>
      </w:r>
      <w:r w:rsidR="00023CC1">
        <w:rPr>
          <w:rFonts w:cs="Arial"/>
          <w:szCs w:val="20"/>
        </w:rPr>
        <w:t>i</w:t>
      </w:r>
      <w:r w:rsidR="00023CC1">
        <w:rPr>
          <w:rFonts w:cs="Arial"/>
          <w:szCs w:val="20"/>
        </w:rPr>
        <w:t xml:space="preserve">terbildungsmöglichkeiten, betriebliches Gesundheitsmanagement und gesundheitliche Vorsorge oder die Unterstützung bei der Pflege von Familienangehörigen. </w:t>
      </w:r>
    </w:p>
    <w:p w:rsidR="00C05D62" w:rsidRDefault="00C05D62" w:rsidP="008B4C0E">
      <w:pPr>
        <w:jc w:val="both"/>
        <w:rPr>
          <w:szCs w:val="20"/>
        </w:rPr>
      </w:pPr>
    </w:p>
    <w:p w:rsidR="008B4C0E" w:rsidRPr="00CE5BEA" w:rsidRDefault="0047176D" w:rsidP="008B4C0E">
      <w:pPr>
        <w:jc w:val="both"/>
        <w:rPr>
          <w:szCs w:val="20"/>
        </w:rPr>
      </w:pPr>
      <w:r w:rsidRPr="00CE5BEA">
        <w:rPr>
          <w:szCs w:val="20"/>
        </w:rPr>
        <w:t>Ansprechpartner</w:t>
      </w:r>
      <w:r w:rsidR="008B4C0E" w:rsidRPr="00CE5BEA">
        <w:rPr>
          <w:szCs w:val="20"/>
        </w:rPr>
        <w:t>:</w:t>
      </w:r>
    </w:p>
    <w:p w:rsidR="003A6DEC" w:rsidRPr="00CE5BEA" w:rsidRDefault="003A6DEC" w:rsidP="008B4C0E">
      <w:pPr>
        <w:jc w:val="both"/>
        <w:rPr>
          <w:szCs w:val="20"/>
        </w:rPr>
      </w:pPr>
    </w:p>
    <w:p w:rsidR="008B4C0E" w:rsidRPr="00CE5BEA" w:rsidRDefault="008B4C0E" w:rsidP="008B4C0E">
      <w:pPr>
        <w:jc w:val="both"/>
        <w:rPr>
          <w:szCs w:val="20"/>
        </w:rPr>
      </w:pPr>
      <w:r w:rsidRPr="00CE5BEA">
        <w:rPr>
          <w:szCs w:val="20"/>
        </w:rPr>
        <w:t>thyssenkrupp Steel Europe AG</w:t>
      </w:r>
    </w:p>
    <w:p w:rsidR="003A6DEC" w:rsidRPr="00CE5BEA" w:rsidRDefault="003A6DEC" w:rsidP="008B4C0E">
      <w:pPr>
        <w:jc w:val="both"/>
        <w:rPr>
          <w:szCs w:val="20"/>
        </w:rPr>
      </w:pPr>
      <w:r w:rsidRPr="00CE5BEA">
        <w:rPr>
          <w:szCs w:val="20"/>
        </w:rPr>
        <w:t>Erik Walner</w:t>
      </w:r>
    </w:p>
    <w:p w:rsidR="008B4C0E" w:rsidRPr="00CE5BEA" w:rsidRDefault="008B4C0E" w:rsidP="008B4C0E">
      <w:pPr>
        <w:jc w:val="both"/>
        <w:rPr>
          <w:szCs w:val="20"/>
        </w:rPr>
      </w:pPr>
      <w:r w:rsidRPr="00CE5BEA">
        <w:rPr>
          <w:szCs w:val="20"/>
        </w:rPr>
        <w:t>Leiter Media Relations</w:t>
      </w:r>
    </w:p>
    <w:p w:rsidR="008B4C0E" w:rsidRPr="00CE5BEA" w:rsidRDefault="008B4C0E" w:rsidP="008B4C0E">
      <w:pPr>
        <w:jc w:val="both"/>
        <w:rPr>
          <w:szCs w:val="20"/>
        </w:rPr>
      </w:pPr>
      <w:r w:rsidRPr="00CE5BEA">
        <w:rPr>
          <w:szCs w:val="20"/>
        </w:rPr>
        <w:t>T: +49 203 52</w:t>
      </w:r>
      <w:r w:rsidRPr="00CE5BEA">
        <w:rPr>
          <w:rFonts w:ascii="Arial" w:hAnsi="Arial" w:cs="Arial"/>
          <w:szCs w:val="20"/>
        </w:rPr>
        <w:t> </w:t>
      </w:r>
      <w:r w:rsidRPr="00CE5BEA">
        <w:rPr>
          <w:szCs w:val="20"/>
        </w:rPr>
        <w:t>-</w:t>
      </w:r>
      <w:r w:rsidRPr="00CE5BEA">
        <w:rPr>
          <w:rFonts w:ascii="Arial" w:hAnsi="Arial" w:cs="Arial"/>
          <w:szCs w:val="20"/>
        </w:rPr>
        <w:t> </w:t>
      </w:r>
      <w:r w:rsidRPr="00CE5BEA">
        <w:rPr>
          <w:szCs w:val="20"/>
        </w:rPr>
        <w:t>45130</w:t>
      </w:r>
    </w:p>
    <w:p w:rsidR="008B4C0E" w:rsidRPr="00CE5BEA" w:rsidRDefault="00C35A8B" w:rsidP="008B4C0E">
      <w:pPr>
        <w:jc w:val="both"/>
        <w:rPr>
          <w:szCs w:val="20"/>
        </w:rPr>
      </w:pPr>
      <w:hyperlink r:id="rId9" w:history="1">
        <w:r w:rsidR="008B4C0E" w:rsidRPr="00CE5BEA">
          <w:rPr>
            <w:rStyle w:val="Hyperlink"/>
            <w:szCs w:val="20"/>
          </w:rPr>
          <w:t>erik.walner@thyssenkrupp.com</w:t>
        </w:r>
      </w:hyperlink>
    </w:p>
    <w:p w:rsidR="008B4C0E" w:rsidRPr="00CE5BEA" w:rsidRDefault="00C35A8B" w:rsidP="008B4C0E">
      <w:pPr>
        <w:jc w:val="both"/>
        <w:rPr>
          <w:szCs w:val="20"/>
          <w:lang w:val="en-GB"/>
        </w:rPr>
      </w:pPr>
      <w:hyperlink r:id="rId10" w:history="1">
        <w:r w:rsidR="008B4C0E" w:rsidRPr="00CE5BEA">
          <w:rPr>
            <w:rStyle w:val="Hyperlink"/>
            <w:szCs w:val="20"/>
            <w:lang w:val="en-GB"/>
          </w:rPr>
          <w:t>www.thyssenkrupp-steel.com</w:t>
        </w:r>
      </w:hyperlink>
      <w:r w:rsidR="008B4C0E" w:rsidRPr="00CE5BEA">
        <w:rPr>
          <w:szCs w:val="20"/>
          <w:lang w:val="en-GB"/>
        </w:rPr>
        <w:t xml:space="preserve"> </w:t>
      </w:r>
    </w:p>
    <w:p w:rsidR="008B4C0E" w:rsidRPr="00CE5BEA" w:rsidRDefault="008B4C0E" w:rsidP="008B4C0E">
      <w:pPr>
        <w:rPr>
          <w:szCs w:val="20"/>
          <w:lang w:val="en-GB"/>
        </w:rPr>
      </w:pPr>
      <w:r w:rsidRPr="00CE5BEA">
        <w:rPr>
          <w:szCs w:val="20"/>
          <w:lang w:val="en-US"/>
        </w:rPr>
        <w:t xml:space="preserve">Company blog: </w:t>
      </w:r>
      <w:hyperlink r:id="rId11" w:history="1">
        <w:r w:rsidRPr="00CE5BEA">
          <w:rPr>
            <w:rStyle w:val="Hyperlink"/>
            <w:szCs w:val="20"/>
            <w:lang w:val="en-GB"/>
          </w:rPr>
          <w:t>https://engineered.thyssenkrupp.com</w:t>
        </w:r>
      </w:hyperlink>
    </w:p>
    <w:sectPr w:rsidR="008B4C0E" w:rsidRPr="00CE5BEA" w:rsidSect="008D3DF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54" w:rsidRDefault="007E0854" w:rsidP="005B5ABA">
      <w:pPr>
        <w:spacing w:line="240" w:lineRule="auto"/>
      </w:pPr>
      <w:r>
        <w:separator/>
      </w:r>
    </w:p>
  </w:endnote>
  <w:endnote w:type="continuationSeparator" w:id="0">
    <w:p w:rsidR="007E0854" w:rsidRDefault="007E085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712B3D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Vorsitzender des Aufsichtsrats: Dr.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Hiesinger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>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A. Desai, Dr. Herbert Eichelkraut, Dr. Heribert R. Fischer, 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thyssenkrupp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Aufsichtsrats: Dr. Heinrich Hiesinger,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A. Desai, Dr. Herbert Eichelkraut, Dr. Heribert R. Fischer, 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12B3D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thyssenkrupp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proofErr w:type="spellEnd"/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A. Desai, Dr. Herbert Eichelkraut, Dr</w:t>
                          </w:r>
                          <w:r w:rsidR="00EB4732" w:rsidRPr="002731E0">
                            <w:rPr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thyssenkrupp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A. Desai, Dr. Herbert Eichelkraut, Dr</w:t>
                    </w:r>
                    <w:r w:rsidR="00EB4732" w:rsidRPr="002731E0">
                      <w:rPr>
                        <w:szCs w:val="14"/>
                      </w:rPr>
                      <w:t>. Heribert R. Fischer, 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54" w:rsidRDefault="007E0854" w:rsidP="005B5ABA">
      <w:pPr>
        <w:spacing w:line="240" w:lineRule="auto"/>
      </w:pPr>
      <w:r>
        <w:separator/>
      </w:r>
    </w:p>
  </w:footnote>
  <w:footnote w:type="continuationSeparator" w:id="0">
    <w:p w:rsidR="007E0854" w:rsidRDefault="007E085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712B3D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C05D6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35A8B">
                            <w:rPr>
                              <w:noProof/>
                            </w:rPr>
                            <w:t>07.12.2016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35A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35A8B">
                            <w:fldChar w:fldCharType="begin"/>
                          </w:r>
                          <w:r w:rsidR="00C35A8B">
                            <w:instrText xml:space="preserve"> NUMPAGES   \* MERGEFORMAT </w:instrText>
                          </w:r>
                          <w:r w:rsidR="00C35A8B">
                            <w:fldChar w:fldCharType="separate"/>
                          </w:r>
                          <w:r w:rsidR="00C35A8B">
                            <w:rPr>
                              <w:noProof/>
                            </w:rPr>
                            <w:t>2</w:t>
                          </w:r>
                          <w:r w:rsidR="00C35A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C05D6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35A8B">
                      <w:rPr>
                        <w:noProof/>
                      </w:rPr>
                      <w:t>07.12.2016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35A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35A8B">
                      <w:fldChar w:fldCharType="begin"/>
                    </w:r>
                    <w:r w:rsidR="00C35A8B">
                      <w:instrText xml:space="preserve"> NUMPAGES   \* MERGEFORMAT </w:instrText>
                    </w:r>
                    <w:r w:rsidR="00C35A8B">
                      <w:fldChar w:fldCharType="separate"/>
                    </w:r>
                    <w:r w:rsidR="00C35A8B">
                      <w:rPr>
                        <w:noProof/>
                      </w:rPr>
                      <w:t>2</w:t>
                    </w:r>
                    <w:r w:rsidR="00C35A8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712B3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.9pt;height:2.9pt" o:bullet="t">
        <v:imagedata r:id="rId1" o:title="Bullet_blau_RGB_klein"/>
      </v:shape>
    </w:pict>
  </w:numPicBullet>
  <w:numPicBullet w:numPicBulletId="1">
    <w:pict>
      <v:shape id="_x0000_i1045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3CC1"/>
    <w:rsid w:val="00024B24"/>
    <w:rsid w:val="0002585A"/>
    <w:rsid w:val="00040FF0"/>
    <w:rsid w:val="000416B2"/>
    <w:rsid w:val="00041D56"/>
    <w:rsid w:val="00047BF9"/>
    <w:rsid w:val="0005157B"/>
    <w:rsid w:val="0005649C"/>
    <w:rsid w:val="00056719"/>
    <w:rsid w:val="00056B18"/>
    <w:rsid w:val="0006281E"/>
    <w:rsid w:val="00065D3B"/>
    <w:rsid w:val="000677D4"/>
    <w:rsid w:val="00067B08"/>
    <w:rsid w:val="00072ECE"/>
    <w:rsid w:val="00073D48"/>
    <w:rsid w:val="000838CD"/>
    <w:rsid w:val="00084C80"/>
    <w:rsid w:val="00085CC6"/>
    <w:rsid w:val="000A2463"/>
    <w:rsid w:val="000A40CF"/>
    <w:rsid w:val="000B304B"/>
    <w:rsid w:val="000B341D"/>
    <w:rsid w:val="000B587E"/>
    <w:rsid w:val="000B763C"/>
    <w:rsid w:val="000C52EA"/>
    <w:rsid w:val="000C6118"/>
    <w:rsid w:val="000D0B68"/>
    <w:rsid w:val="000D1AC0"/>
    <w:rsid w:val="000D4D6C"/>
    <w:rsid w:val="000E478B"/>
    <w:rsid w:val="000E6F26"/>
    <w:rsid w:val="000F14DB"/>
    <w:rsid w:val="000F35F8"/>
    <w:rsid w:val="000F62A0"/>
    <w:rsid w:val="00102C50"/>
    <w:rsid w:val="001062DB"/>
    <w:rsid w:val="0011188C"/>
    <w:rsid w:val="00127BB0"/>
    <w:rsid w:val="001306E1"/>
    <w:rsid w:val="001314C0"/>
    <w:rsid w:val="001364F9"/>
    <w:rsid w:val="001451D3"/>
    <w:rsid w:val="00155A76"/>
    <w:rsid w:val="001622EE"/>
    <w:rsid w:val="00173117"/>
    <w:rsid w:val="00185FC1"/>
    <w:rsid w:val="001861FA"/>
    <w:rsid w:val="001A1A44"/>
    <w:rsid w:val="001A259A"/>
    <w:rsid w:val="001A2E8F"/>
    <w:rsid w:val="001A6CD7"/>
    <w:rsid w:val="001B118B"/>
    <w:rsid w:val="001B5D61"/>
    <w:rsid w:val="001C001F"/>
    <w:rsid w:val="001C031C"/>
    <w:rsid w:val="001E68C0"/>
    <w:rsid w:val="001E7E0A"/>
    <w:rsid w:val="001F795E"/>
    <w:rsid w:val="002017F7"/>
    <w:rsid w:val="00216A2C"/>
    <w:rsid w:val="0022554F"/>
    <w:rsid w:val="002310DC"/>
    <w:rsid w:val="002322C8"/>
    <w:rsid w:val="00241B1E"/>
    <w:rsid w:val="00243C72"/>
    <w:rsid w:val="0024431D"/>
    <w:rsid w:val="0024653B"/>
    <w:rsid w:val="00253419"/>
    <w:rsid w:val="0025702F"/>
    <w:rsid w:val="00262A65"/>
    <w:rsid w:val="002633D0"/>
    <w:rsid w:val="00265BD0"/>
    <w:rsid w:val="002717AB"/>
    <w:rsid w:val="002731E0"/>
    <w:rsid w:val="002737E3"/>
    <w:rsid w:val="00276FF1"/>
    <w:rsid w:val="0028654D"/>
    <w:rsid w:val="002B1713"/>
    <w:rsid w:val="002C4AF5"/>
    <w:rsid w:val="002C51A9"/>
    <w:rsid w:val="002C62A1"/>
    <w:rsid w:val="002D08A2"/>
    <w:rsid w:val="002D1B27"/>
    <w:rsid w:val="002E2CC9"/>
    <w:rsid w:val="002E70F1"/>
    <w:rsid w:val="002E7345"/>
    <w:rsid w:val="00304A38"/>
    <w:rsid w:val="0030756A"/>
    <w:rsid w:val="00311793"/>
    <w:rsid w:val="0032297D"/>
    <w:rsid w:val="00323E6F"/>
    <w:rsid w:val="00330F58"/>
    <w:rsid w:val="003312D4"/>
    <w:rsid w:val="003412BB"/>
    <w:rsid w:val="003440A4"/>
    <w:rsid w:val="00347759"/>
    <w:rsid w:val="003611C0"/>
    <w:rsid w:val="00364391"/>
    <w:rsid w:val="00364D41"/>
    <w:rsid w:val="00371256"/>
    <w:rsid w:val="0037169E"/>
    <w:rsid w:val="00371E29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4C06"/>
    <w:rsid w:val="0039754F"/>
    <w:rsid w:val="003A2163"/>
    <w:rsid w:val="003A6DEC"/>
    <w:rsid w:val="003A6FBB"/>
    <w:rsid w:val="003B1E7E"/>
    <w:rsid w:val="003B3B2D"/>
    <w:rsid w:val="003B7043"/>
    <w:rsid w:val="003C3400"/>
    <w:rsid w:val="003C38DE"/>
    <w:rsid w:val="003C3F58"/>
    <w:rsid w:val="003C439A"/>
    <w:rsid w:val="003D206A"/>
    <w:rsid w:val="003D34D5"/>
    <w:rsid w:val="003D52F9"/>
    <w:rsid w:val="003E4F1F"/>
    <w:rsid w:val="00400E0B"/>
    <w:rsid w:val="00400E1A"/>
    <w:rsid w:val="00402E5D"/>
    <w:rsid w:val="00406ED1"/>
    <w:rsid w:val="0040777D"/>
    <w:rsid w:val="00420B26"/>
    <w:rsid w:val="00423F7C"/>
    <w:rsid w:val="00424DC1"/>
    <w:rsid w:val="004275F3"/>
    <w:rsid w:val="00436BFD"/>
    <w:rsid w:val="004413FC"/>
    <w:rsid w:val="00442017"/>
    <w:rsid w:val="00444DF5"/>
    <w:rsid w:val="004454A2"/>
    <w:rsid w:val="00446308"/>
    <w:rsid w:val="004463C3"/>
    <w:rsid w:val="00450035"/>
    <w:rsid w:val="00456045"/>
    <w:rsid w:val="00457F9F"/>
    <w:rsid w:val="00463FA6"/>
    <w:rsid w:val="00466E32"/>
    <w:rsid w:val="00467F61"/>
    <w:rsid w:val="0047176D"/>
    <w:rsid w:val="00477103"/>
    <w:rsid w:val="004777B1"/>
    <w:rsid w:val="004848F6"/>
    <w:rsid w:val="00485103"/>
    <w:rsid w:val="00485FCD"/>
    <w:rsid w:val="00490007"/>
    <w:rsid w:val="0049341B"/>
    <w:rsid w:val="00497224"/>
    <w:rsid w:val="004A3799"/>
    <w:rsid w:val="004B0692"/>
    <w:rsid w:val="004C1133"/>
    <w:rsid w:val="004C24B3"/>
    <w:rsid w:val="004C43B9"/>
    <w:rsid w:val="004D1918"/>
    <w:rsid w:val="004D4520"/>
    <w:rsid w:val="004E0195"/>
    <w:rsid w:val="004E1549"/>
    <w:rsid w:val="004E157C"/>
    <w:rsid w:val="004E30F8"/>
    <w:rsid w:val="004E3BE6"/>
    <w:rsid w:val="004E3D3F"/>
    <w:rsid w:val="004F1A5D"/>
    <w:rsid w:val="004F3F4D"/>
    <w:rsid w:val="004F5B8F"/>
    <w:rsid w:val="004F603C"/>
    <w:rsid w:val="004F6219"/>
    <w:rsid w:val="005028EC"/>
    <w:rsid w:val="00502CE9"/>
    <w:rsid w:val="00504A20"/>
    <w:rsid w:val="0050798B"/>
    <w:rsid w:val="00515661"/>
    <w:rsid w:val="005159E6"/>
    <w:rsid w:val="0052707C"/>
    <w:rsid w:val="0053020A"/>
    <w:rsid w:val="0053432D"/>
    <w:rsid w:val="005356B9"/>
    <w:rsid w:val="005367E6"/>
    <w:rsid w:val="00541B9A"/>
    <w:rsid w:val="00544BC4"/>
    <w:rsid w:val="0054604A"/>
    <w:rsid w:val="005500C3"/>
    <w:rsid w:val="00555F7F"/>
    <w:rsid w:val="00556640"/>
    <w:rsid w:val="005623E6"/>
    <w:rsid w:val="00563A7F"/>
    <w:rsid w:val="005671BD"/>
    <w:rsid w:val="00572FD2"/>
    <w:rsid w:val="00573DC5"/>
    <w:rsid w:val="0057425E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42CF"/>
    <w:rsid w:val="005B5ABA"/>
    <w:rsid w:val="005C6148"/>
    <w:rsid w:val="005D091D"/>
    <w:rsid w:val="005E33C0"/>
    <w:rsid w:val="005E5C7D"/>
    <w:rsid w:val="005E7FCB"/>
    <w:rsid w:val="005F2BF0"/>
    <w:rsid w:val="005F7605"/>
    <w:rsid w:val="0060143C"/>
    <w:rsid w:val="00606EE4"/>
    <w:rsid w:val="00614B87"/>
    <w:rsid w:val="00617526"/>
    <w:rsid w:val="00617977"/>
    <w:rsid w:val="006366E0"/>
    <w:rsid w:val="00643AC2"/>
    <w:rsid w:val="0066309C"/>
    <w:rsid w:val="00664682"/>
    <w:rsid w:val="006870AC"/>
    <w:rsid w:val="00690122"/>
    <w:rsid w:val="006951BE"/>
    <w:rsid w:val="006977CF"/>
    <w:rsid w:val="006B7A0A"/>
    <w:rsid w:val="006C137B"/>
    <w:rsid w:val="006C4DE2"/>
    <w:rsid w:val="006D2BC1"/>
    <w:rsid w:val="006E3AEE"/>
    <w:rsid w:val="006E487C"/>
    <w:rsid w:val="006E5157"/>
    <w:rsid w:val="006E5B34"/>
    <w:rsid w:val="006F551A"/>
    <w:rsid w:val="007065C5"/>
    <w:rsid w:val="00712B3D"/>
    <w:rsid w:val="00717F0E"/>
    <w:rsid w:val="007226A9"/>
    <w:rsid w:val="00730AF8"/>
    <w:rsid w:val="007406DF"/>
    <w:rsid w:val="00741356"/>
    <w:rsid w:val="00741AEC"/>
    <w:rsid w:val="00742158"/>
    <w:rsid w:val="00743CA5"/>
    <w:rsid w:val="007476F7"/>
    <w:rsid w:val="00755DC2"/>
    <w:rsid w:val="0075640D"/>
    <w:rsid w:val="00764EBA"/>
    <w:rsid w:val="00765BD4"/>
    <w:rsid w:val="00777040"/>
    <w:rsid w:val="0078132E"/>
    <w:rsid w:val="007836A3"/>
    <w:rsid w:val="00785030"/>
    <w:rsid w:val="007B21C7"/>
    <w:rsid w:val="007B6BB1"/>
    <w:rsid w:val="007B7169"/>
    <w:rsid w:val="007C2073"/>
    <w:rsid w:val="007C45CE"/>
    <w:rsid w:val="007C6754"/>
    <w:rsid w:val="007C6F64"/>
    <w:rsid w:val="007D2DC3"/>
    <w:rsid w:val="007D3550"/>
    <w:rsid w:val="007D6F75"/>
    <w:rsid w:val="007E0854"/>
    <w:rsid w:val="007E7192"/>
    <w:rsid w:val="007F0A0E"/>
    <w:rsid w:val="007F2F4B"/>
    <w:rsid w:val="007F3412"/>
    <w:rsid w:val="007F48C3"/>
    <w:rsid w:val="007F4918"/>
    <w:rsid w:val="00811C17"/>
    <w:rsid w:val="0081489E"/>
    <w:rsid w:val="00816B43"/>
    <w:rsid w:val="00825C90"/>
    <w:rsid w:val="0083279D"/>
    <w:rsid w:val="00834218"/>
    <w:rsid w:val="008348CB"/>
    <w:rsid w:val="00836E7F"/>
    <w:rsid w:val="00841D01"/>
    <w:rsid w:val="0084534A"/>
    <w:rsid w:val="00855504"/>
    <w:rsid w:val="0085632E"/>
    <w:rsid w:val="00874702"/>
    <w:rsid w:val="00874877"/>
    <w:rsid w:val="0087668E"/>
    <w:rsid w:val="00877EF4"/>
    <w:rsid w:val="00892DDA"/>
    <w:rsid w:val="008A0512"/>
    <w:rsid w:val="008A5454"/>
    <w:rsid w:val="008A552C"/>
    <w:rsid w:val="008A7BF0"/>
    <w:rsid w:val="008B3481"/>
    <w:rsid w:val="008B4C0E"/>
    <w:rsid w:val="008B6309"/>
    <w:rsid w:val="008C4331"/>
    <w:rsid w:val="008D1C62"/>
    <w:rsid w:val="008D3DFA"/>
    <w:rsid w:val="008F1C7C"/>
    <w:rsid w:val="008F2FF4"/>
    <w:rsid w:val="00907BC6"/>
    <w:rsid w:val="009110E9"/>
    <w:rsid w:val="00911BB0"/>
    <w:rsid w:val="009213A3"/>
    <w:rsid w:val="00922375"/>
    <w:rsid w:val="0092247E"/>
    <w:rsid w:val="00930C74"/>
    <w:rsid w:val="0093339B"/>
    <w:rsid w:val="009507DF"/>
    <w:rsid w:val="00957075"/>
    <w:rsid w:val="0097091A"/>
    <w:rsid w:val="00986382"/>
    <w:rsid w:val="00986CDB"/>
    <w:rsid w:val="00993C40"/>
    <w:rsid w:val="009A13D0"/>
    <w:rsid w:val="009B1D04"/>
    <w:rsid w:val="009B57CB"/>
    <w:rsid w:val="009B6480"/>
    <w:rsid w:val="009B6CA4"/>
    <w:rsid w:val="009B72A2"/>
    <w:rsid w:val="009C0EFE"/>
    <w:rsid w:val="009D2862"/>
    <w:rsid w:val="009D2BE0"/>
    <w:rsid w:val="009E653F"/>
    <w:rsid w:val="009F2BF2"/>
    <w:rsid w:val="009F576B"/>
    <w:rsid w:val="00A005BB"/>
    <w:rsid w:val="00A037B9"/>
    <w:rsid w:val="00A16F76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3A18"/>
    <w:rsid w:val="00A6406B"/>
    <w:rsid w:val="00A67B90"/>
    <w:rsid w:val="00A70231"/>
    <w:rsid w:val="00A70C82"/>
    <w:rsid w:val="00A70ED2"/>
    <w:rsid w:val="00A7148A"/>
    <w:rsid w:val="00A812A3"/>
    <w:rsid w:val="00A94761"/>
    <w:rsid w:val="00AA0FE5"/>
    <w:rsid w:val="00AB03A5"/>
    <w:rsid w:val="00AC49B6"/>
    <w:rsid w:val="00AC50D1"/>
    <w:rsid w:val="00AD1CF1"/>
    <w:rsid w:val="00AD28B9"/>
    <w:rsid w:val="00AE0DFC"/>
    <w:rsid w:val="00AE3FFD"/>
    <w:rsid w:val="00AF20A5"/>
    <w:rsid w:val="00AF22C8"/>
    <w:rsid w:val="00AF4318"/>
    <w:rsid w:val="00AF75F1"/>
    <w:rsid w:val="00AF76C5"/>
    <w:rsid w:val="00B03CAB"/>
    <w:rsid w:val="00B147E8"/>
    <w:rsid w:val="00B270A2"/>
    <w:rsid w:val="00B3093A"/>
    <w:rsid w:val="00B3304F"/>
    <w:rsid w:val="00B40E49"/>
    <w:rsid w:val="00B51FC7"/>
    <w:rsid w:val="00B56DC4"/>
    <w:rsid w:val="00B579A7"/>
    <w:rsid w:val="00B61DEE"/>
    <w:rsid w:val="00B70E1D"/>
    <w:rsid w:val="00B77C8B"/>
    <w:rsid w:val="00B82615"/>
    <w:rsid w:val="00B846E0"/>
    <w:rsid w:val="00B85FF6"/>
    <w:rsid w:val="00B87D83"/>
    <w:rsid w:val="00B9508B"/>
    <w:rsid w:val="00B967DA"/>
    <w:rsid w:val="00B97794"/>
    <w:rsid w:val="00B97BF8"/>
    <w:rsid w:val="00BA35BE"/>
    <w:rsid w:val="00BC078B"/>
    <w:rsid w:val="00BC231C"/>
    <w:rsid w:val="00BC4E43"/>
    <w:rsid w:val="00BC7E6D"/>
    <w:rsid w:val="00BD2B25"/>
    <w:rsid w:val="00BD3EE5"/>
    <w:rsid w:val="00BD5051"/>
    <w:rsid w:val="00BD6F18"/>
    <w:rsid w:val="00BE2F39"/>
    <w:rsid w:val="00BF0243"/>
    <w:rsid w:val="00BF3A05"/>
    <w:rsid w:val="00BF3F99"/>
    <w:rsid w:val="00C0051F"/>
    <w:rsid w:val="00C043DD"/>
    <w:rsid w:val="00C05D62"/>
    <w:rsid w:val="00C0780D"/>
    <w:rsid w:val="00C12739"/>
    <w:rsid w:val="00C16E63"/>
    <w:rsid w:val="00C35A8B"/>
    <w:rsid w:val="00C3733B"/>
    <w:rsid w:val="00C44757"/>
    <w:rsid w:val="00C54CC7"/>
    <w:rsid w:val="00C61CF1"/>
    <w:rsid w:val="00C62F60"/>
    <w:rsid w:val="00C65390"/>
    <w:rsid w:val="00C73BC2"/>
    <w:rsid w:val="00C73D52"/>
    <w:rsid w:val="00C818F2"/>
    <w:rsid w:val="00C864A4"/>
    <w:rsid w:val="00C872B4"/>
    <w:rsid w:val="00C91AA7"/>
    <w:rsid w:val="00C92184"/>
    <w:rsid w:val="00CA344E"/>
    <w:rsid w:val="00CA4CEB"/>
    <w:rsid w:val="00CC7769"/>
    <w:rsid w:val="00CD4852"/>
    <w:rsid w:val="00CE0DB0"/>
    <w:rsid w:val="00CE0E65"/>
    <w:rsid w:val="00CE1ACD"/>
    <w:rsid w:val="00CE5BEA"/>
    <w:rsid w:val="00CF1AEA"/>
    <w:rsid w:val="00D003F8"/>
    <w:rsid w:val="00D14345"/>
    <w:rsid w:val="00D335B3"/>
    <w:rsid w:val="00D36609"/>
    <w:rsid w:val="00D36AF2"/>
    <w:rsid w:val="00D40008"/>
    <w:rsid w:val="00D42406"/>
    <w:rsid w:val="00D42B7D"/>
    <w:rsid w:val="00D5025B"/>
    <w:rsid w:val="00D503B9"/>
    <w:rsid w:val="00D50499"/>
    <w:rsid w:val="00D5432C"/>
    <w:rsid w:val="00D55104"/>
    <w:rsid w:val="00D615EC"/>
    <w:rsid w:val="00D66EA9"/>
    <w:rsid w:val="00D66EC0"/>
    <w:rsid w:val="00D676CD"/>
    <w:rsid w:val="00D7137C"/>
    <w:rsid w:val="00D7774C"/>
    <w:rsid w:val="00D77D8E"/>
    <w:rsid w:val="00D8016B"/>
    <w:rsid w:val="00D84E2C"/>
    <w:rsid w:val="00D87A7E"/>
    <w:rsid w:val="00D90483"/>
    <w:rsid w:val="00D91F2B"/>
    <w:rsid w:val="00D92877"/>
    <w:rsid w:val="00D9726C"/>
    <w:rsid w:val="00DA58EB"/>
    <w:rsid w:val="00DA5A54"/>
    <w:rsid w:val="00DC741D"/>
    <w:rsid w:val="00DE7D95"/>
    <w:rsid w:val="00E27D5E"/>
    <w:rsid w:val="00E3039A"/>
    <w:rsid w:val="00E31F3A"/>
    <w:rsid w:val="00E34C83"/>
    <w:rsid w:val="00E358C3"/>
    <w:rsid w:val="00E42231"/>
    <w:rsid w:val="00E45807"/>
    <w:rsid w:val="00E504B2"/>
    <w:rsid w:val="00E528AB"/>
    <w:rsid w:val="00E67FF9"/>
    <w:rsid w:val="00E70372"/>
    <w:rsid w:val="00E72E7F"/>
    <w:rsid w:val="00E756E7"/>
    <w:rsid w:val="00E77D96"/>
    <w:rsid w:val="00E925A8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73D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376A9"/>
    <w:rsid w:val="00F4093A"/>
    <w:rsid w:val="00F42010"/>
    <w:rsid w:val="00F51811"/>
    <w:rsid w:val="00F554BC"/>
    <w:rsid w:val="00F5603C"/>
    <w:rsid w:val="00F668A3"/>
    <w:rsid w:val="00F67BFF"/>
    <w:rsid w:val="00F7660C"/>
    <w:rsid w:val="00F934AC"/>
    <w:rsid w:val="00F95F6C"/>
    <w:rsid w:val="00FA584F"/>
    <w:rsid w:val="00FA719A"/>
    <w:rsid w:val="00FA79C7"/>
    <w:rsid w:val="00FB20DF"/>
    <w:rsid w:val="00FC6B83"/>
    <w:rsid w:val="00FD23C7"/>
    <w:rsid w:val="00FD768B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character" w:customStyle="1" w:styleId="st">
    <w:name w:val="st"/>
    <w:rsid w:val="00601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character" w:customStyle="1" w:styleId="st">
    <w:name w:val="st"/>
    <w:rsid w:val="0060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7B25-01C6-48E1-A013-9FA4EA56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3237</Characters>
  <Application>Microsoft Office Word</Application>
  <DocSecurity>0</DocSecurity>
  <Lines>64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3680</CharactersWithSpaces>
  <SharedDoc>false</SharedDoc>
  <HLinks>
    <vt:vector size="24" baseType="variant">
      <vt:variant>
        <vt:i4>1638428</vt:i4>
      </vt:variant>
      <vt:variant>
        <vt:i4>12</vt:i4>
      </vt:variant>
      <vt:variant>
        <vt:i4>0</vt:i4>
      </vt:variant>
      <vt:variant>
        <vt:i4>5</vt:i4>
      </vt:variant>
      <vt:variant>
        <vt:lpwstr>https://engineered.thyssenkrupp.com/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  <vt:variant>
        <vt:i4>7208990</vt:i4>
      </vt:variant>
      <vt:variant>
        <vt:i4>6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http://www.thyssenkrupp-steel.com/gate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13</cp:revision>
  <cp:lastPrinted>2016-12-07T14:59:00Z</cp:lastPrinted>
  <dcterms:created xsi:type="dcterms:W3CDTF">2016-12-06T06:30:00Z</dcterms:created>
  <dcterms:modified xsi:type="dcterms:W3CDTF">2016-12-07T15:42:00Z</dcterms:modified>
</cp:coreProperties>
</file>