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Pr="000117CB" w:rsidRDefault="008D3DFA" w:rsidP="0002273B">
            <w:pPr>
              <w:rPr>
                <w:rFonts w:ascii="TKTypeMedium" w:hAnsi="TKTypeMedium"/>
                <w:noProof/>
                <w:lang w:eastAsia="de-DE"/>
              </w:rPr>
            </w:pPr>
          </w:p>
        </w:tc>
        <w:tc>
          <w:tcPr>
            <w:tcW w:w="1724" w:type="dxa"/>
          </w:tcPr>
          <w:p w:rsidR="008D3DFA" w:rsidRDefault="008D3DFA" w:rsidP="001E7E0A">
            <w:pPr>
              <w:pStyle w:val="BusinessArea"/>
            </w:pP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F74CC3" w:rsidP="001E7E0A">
            <w:pPr>
              <w:pStyle w:val="Datumsangabe"/>
            </w:pPr>
            <w:r>
              <w:t xml:space="preserve">17. Dezember </w:t>
            </w:r>
            <w:r w:rsidR="0002273B">
              <w:t>2018</w:t>
            </w:r>
          </w:p>
          <w:p w:rsidR="001E7E0A" w:rsidRPr="0087668E" w:rsidRDefault="001E7E0A" w:rsidP="00A70ED2">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r w:rsidR="00AE620D">
              <w:fldChar w:fldCharType="begin"/>
            </w:r>
            <w:r w:rsidR="00AE620D">
              <w:instrText xml:space="preserve"> NUMPAGES   \* MERGEFORMAT </w:instrText>
            </w:r>
            <w:r w:rsidR="00AE620D">
              <w:fldChar w:fldCharType="separate"/>
            </w:r>
            <w:r w:rsidR="004E0336">
              <w:rPr>
                <w:noProof/>
              </w:rPr>
              <w:t>2</w:t>
            </w:r>
            <w:r w:rsidR="00AE620D">
              <w:rPr>
                <w:noProof/>
              </w:rPr>
              <w:fldChar w:fldCharType="end"/>
            </w:r>
          </w:p>
        </w:tc>
      </w:tr>
    </w:tbl>
    <w:p w:rsidR="00B21B3C" w:rsidRDefault="00B21B3C" w:rsidP="00B21B3C">
      <w:pPr>
        <w:rPr>
          <w:rFonts w:ascii="TKTypeBold" w:hAnsi="TKTypeBold"/>
          <w:color w:val="auto"/>
          <w:sz w:val="22"/>
        </w:rPr>
      </w:pPr>
      <w:proofErr w:type="spellStart"/>
      <w:r w:rsidRPr="000F6CBA">
        <w:rPr>
          <w:rFonts w:ascii="TKTypeBold" w:hAnsi="TKTypeBold"/>
          <w:color w:val="auto"/>
          <w:sz w:val="22"/>
        </w:rPr>
        <w:t>thyssenkrupp</w:t>
      </w:r>
      <w:proofErr w:type="spellEnd"/>
      <w:r w:rsidRPr="000F6CBA">
        <w:rPr>
          <w:rFonts w:ascii="TKTypeBold" w:hAnsi="TKTypeBold"/>
          <w:color w:val="auto"/>
          <w:sz w:val="22"/>
        </w:rPr>
        <w:t xml:space="preserve"> und </w:t>
      </w:r>
      <w:proofErr w:type="spellStart"/>
      <w:r w:rsidRPr="000F6CBA">
        <w:rPr>
          <w:rFonts w:ascii="TKTypeBold" w:hAnsi="TKTypeBold"/>
          <w:color w:val="auto"/>
          <w:sz w:val="22"/>
        </w:rPr>
        <w:t>Tata</w:t>
      </w:r>
      <w:proofErr w:type="spellEnd"/>
      <w:r w:rsidRPr="000F6CBA">
        <w:rPr>
          <w:rFonts w:ascii="TKTypeBold" w:hAnsi="TKTypeBold"/>
          <w:color w:val="auto"/>
          <w:sz w:val="22"/>
        </w:rPr>
        <w:t xml:space="preserve"> Steel geben </w:t>
      </w:r>
      <w:r>
        <w:rPr>
          <w:rFonts w:ascii="TKTypeBold" w:hAnsi="TKTypeBold"/>
          <w:color w:val="auto"/>
          <w:sz w:val="22"/>
        </w:rPr>
        <w:t>Vorstand</w:t>
      </w:r>
      <w:r w:rsidRPr="000F6CBA">
        <w:rPr>
          <w:rFonts w:ascii="TKTypeBold" w:hAnsi="TKTypeBold"/>
          <w:color w:val="auto"/>
          <w:sz w:val="22"/>
        </w:rPr>
        <w:t xml:space="preserve"> für </w:t>
      </w:r>
      <w:r>
        <w:rPr>
          <w:rFonts w:ascii="TKTypeBold" w:hAnsi="TKTypeBold"/>
          <w:color w:val="auto"/>
          <w:sz w:val="22"/>
        </w:rPr>
        <w:t xml:space="preserve">geplantes </w:t>
      </w:r>
      <w:r w:rsidRPr="000F6CBA">
        <w:rPr>
          <w:rFonts w:ascii="TKTypeBold" w:hAnsi="TKTypeBold"/>
          <w:color w:val="auto"/>
          <w:sz w:val="22"/>
        </w:rPr>
        <w:t>Joint Venture bekannt</w:t>
      </w:r>
    </w:p>
    <w:p w:rsidR="002F56D0" w:rsidRDefault="002F56D0" w:rsidP="00F4093A"/>
    <w:p w:rsidR="00B21B3C" w:rsidRDefault="00B21B3C" w:rsidP="00B21B3C">
      <w:pPr>
        <w:jc w:val="both"/>
        <w:rPr>
          <w:sz w:val="22"/>
        </w:rPr>
      </w:pPr>
      <w:proofErr w:type="spellStart"/>
      <w:r>
        <w:rPr>
          <w:sz w:val="22"/>
        </w:rPr>
        <w:t>Tata</w:t>
      </w:r>
      <w:proofErr w:type="spellEnd"/>
      <w:r>
        <w:rPr>
          <w:sz w:val="22"/>
        </w:rPr>
        <w:t xml:space="preserve"> Steel und </w:t>
      </w:r>
      <w:proofErr w:type="spellStart"/>
      <w:r>
        <w:rPr>
          <w:sz w:val="22"/>
        </w:rPr>
        <w:t>thyssenkrupp</w:t>
      </w:r>
      <w:proofErr w:type="spellEnd"/>
      <w:r>
        <w:rPr>
          <w:sz w:val="22"/>
        </w:rPr>
        <w:t xml:space="preserve"> haben heute die Besetzung des Vorstands für ihr beabsichtigtes Stahl-Joint-Venture festgelegt.</w:t>
      </w:r>
    </w:p>
    <w:p w:rsidR="00B21B3C" w:rsidRDefault="00B21B3C" w:rsidP="00B21B3C">
      <w:pPr>
        <w:jc w:val="both"/>
        <w:rPr>
          <w:sz w:val="22"/>
        </w:rPr>
      </w:pPr>
    </w:p>
    <w:p w:rsidR="00B21B3C" w:rsidRDefault="00B21B3C" w:rsidP="00B21B3C">
      <w:pPr>
        <w:jc w:val="both"/>
        <w:rPr>
          <w:sz w:val="22"/>
        </w:rPr>
      </w:pPr>
      <w:r>
        <w:rPr>
          <w:sz w:val="22"/>
        </w:rPr>
        <w:t xml:space="preserve">Der künftige Vorstand wird aus Andreas Goss, Hans Fischer, </w:t>
      </w:r>
      <w:proofErr w:type="spellStart"/>
      <w:r>
        <w:rPr>
          <w:sz w:val="22"/>
        </w:rPr>
        <w:t>Sandip</w:t>
      </w:r>
      <w:proofErr w:type="spellEnd"/>
      <w:r>
        <w:rPr>
          <w:sz w:val="22"/>
        </w:rPr>
        <w:t xml:space="preserve"> Biswas und Premal Desai bestehen. Andreas Goss, derzeit Vorstandsvorsitzender des Stahlbereichs von </w:t>
      </w:r>
      <w:proofErr w:type="spellStart"/>
      <w:r>
        <w:rPr>
          <w:sz w:val="22"/>
        </w:rPr>
        <w:t>thyssenkrupp</w:t>
      </w:r>
      <w:proofErr w:type="spellEnd"/>
      <w:r>
        <w:rPr>
          <w:sz w:val="22"/>
        </w:rPr>
        <w:t xml:space="preserve">, wird neuer Vorstandsvorsitzender (CEO) des Joint Ventures. Hans Fischer, bisher CEO von </w:t>
      </w:r>
      <w:proofErr w:type="spellStart"/>
      <w:r>
        <w:rPr>
          <w:sz w:val="22"/>
        </w:rPr>
        <w:t>Tata</w:t>
      </w:r>
      <w:proofErr w:type="spellEnd"/>
      <w:r>
        <w:rPr>
          <w:sz w:val="22"/>
        </w:rPr>
        <w:t xml:space="preserve"> Steel Europe, wird zum stellvertretenden CEO und zum Chief Technology Officer ernannt. Neuer CFO des Joint Ventures wird </w:t>
      </w:r>
      <w:proofErr w:type="spellStart"/>
      <w:r>
        <w:rPr>
          <w:sz w:val="22"/>
        </w:rPr>
        <w:t>Sandip</w:t>
      </w:r>
      <w:proofErr w:type="spellEnd"/>
      <w:r>
        <w:rPr>
          <w:sz w:val="22"/>
        </w:rPr>
        <w:t xml:space="preserve"> Biswas, derzeit Group Executive </w:t>
      </w:r>
      <w:proofErr w:type="spellStart"/>
      <w:r>
        <w:rPr>
          <w:sz w:val="22"/>
        </w:rPr>
        <w:t>Vice</w:t>
      </w:r>
      <w:proofErr w:type="spellEnd"/>
      <w:r>
        <w:rPr>
          <w:sz w:val="22"/>
        </w:rPr>
        <w:t xml:space="preserve"> President </w:t>
      </w:r>
      <w:proofErr w:type="spellStart"/>
      <w:r>
        <w:rPr>
          <w:sz w:val="22"/>
        </w:rPr>
        <w:t>Finance</w:t>
      </w:r>
      <w:proofErr w:type="spellEnd"/>
      <w:r>
        <w:rPr>
          <w:sz w:val="22"/>
        </w:rPr>
        <w:t xml:space="preserve"> bei </w:t>
      </w:r>
      <w:proofErr w:type="spellStart"/>
      <w:r>
        <w:rPr>
          <w:sz w:val="22"/>
        </w:rPr>
        <w:t>Tata</w:t>
      </w:r>
      <w:proofErr w:type="spellEnd"/>
      <w:r>
        <w:rPr>
          <w:sz w:val="22"/>
        </w:rPr>
        <w:t xml:space="preserve"> Steel Limited. Die Position des Chief </w:t>
      </w:r>
      <w:proofErr w:type="spellStart"/>
      <w:r>
        <w:rPr>
          <w:sz w:val="22"/>
        </w:rPr>
        <w:t>Strategy</w:t>
      </w:r>
      <w:proofErr w:type="spellEnd"/>
      <w:r>
        <w:rPr>
          <w:sz w:val="22"/>
        </w:rPr>
        <w:t xml:space="preserve"> Officer wird Premal Desai, bisher Finanzvorstand (CFO) von </w:t>
      </w:r>
      <w:proofErr w:type="spellStart"/>
      <w:r>
        <w:rPr>
          <w:sz w:val="22"/>
        </w:rPr>
        <w:t>thyssenkrupp</w:t>
      </w:r>
      <w:proofErr w:type="spellEnd"/>
      <w:r>
        <w:rPr>
          <w:sz w:val="22"/>
        </w:rPr>
        <w:t xml:space="preserve"> Steel Europe, übernehmen. </w:t>
      </w:r>
    </w:p>
    <w:p w:rsidR="00B21B3C" w:rsidRDefault="00B21B3C" w:rsidP="00B21B3C">
      <w:pPr>
        <w:jc w:val="both"/>
        <w:rPr>
          <w:sz w:val="22"/>
        </w:rPr>
      </w:pPr>
    </w:p>
    <w:p w:rsidR="00B21B3C" w:rsidRDefault="00B21B3C" w:rsidP="00B21B3C">
      <w:pPr>
        <w:jc w:val="both"/>
        <w:rPr>
          <w:sz w:val="22"/>
        </w:rPr>
      </w:pPr>
      <w:r>
        <w:rPr>
          <w:sz w:val="22"/>
        </w:rPr>
        <w:t>Aufgabe des vierköpfigen Vorstands wird es sein, den Integrationsprozess nach Abschluss der Fusion zu leiten und die Umsetzung der Geschäftsstrategie voranzutreiben, sobald das geplante Joint Venture die erforderlichen behördlichen Genehmigungen erhalten hat. Dies geschieht gemeinsam mit dem neuen Top-Führungsteam des Joint Ventures, das Anfang 2019 bekanntgegeben werden soll.</w:t>
      </w:r>
    </w:p>
    <w:p w:rsidR="00B21B3C" w:rsidRDefault="00B21B3C" w:rsidP="00B21B3C">
      <w:pPr>
        <w:jc w:val="both"/>
        <w:rPr>
          <w:sz w:val="22"/>
        </w:rPr>
      </w:pPr>
    </w:p>
    <w:p w:rsidR="00B21B3C" w:rsidRDefault="00B21B3C" w:rsidP="00B21B3C">
      <w:pPr>
        <w:jc w:val="both"/>
        <w:rPr>
          <w:sz w:val="22"/>
        </w:rPr>
      </w:pPr>
      <w:proofErr w:type="spellStart"/>
      <w:r>
        <w:rPr>
          <w:sz w:val="22"/>
        </w:rPr>
        <w:t>Tata</w:t>
      </w:r>
      <w:proofErr w:type="spellEnd"/>
      <w:r>
        <w:rPr>
          <w:sz w:val="22"/>
        </w:rPr>
        <w:t xml:space="preserve"> Steel und </w:t>
      </w:r>
      <w:proofErr w:type="spellStart"/>
      <w:r>
        <w:rPr>
          <w:sz w:val="22"/>
        </w:rPr>
        <w:t>thyssenkrupp</w:t>
      </w:r>
      <w:proofErr w:type="spellEnd"/>
      <w:r>
        <w:rPr>
          <w:sz w:val="22"/>
        </w:rPr>
        <w:t xml:space="preserve"> hatten im Juni 2018 die Verträge für die Gründung eines 50/50-Joint Ventures zur Zusammenführung ihrer europäischen Stahlgeschäfte unterzeichnet. Das geplante Unternehmen mit Namen </w:t>
      </w:r>
      <w:proofErr w:type="spellStart"/>
      <w:r>
        <w:rPr>
          <w:sz w:val="22"/>
        </w:rPr>
        <w:t>thyssenkrupp</w:t>
      </w:r>
      <w:proofErr w:type="spellEnd"/>
      <w:r>
        <w:rPr>
          <w:sz w:val="22"/>
        </w:rPr>
        <w:t xml:space="preserve"> </w:t>
      </w:r>
      <w:proofErr w:type="spellStart"/>
      <w:r>
        <w:rPr>
          <w:sz w:val="22"/>
        </w:rPr>
        <w:t>Tata</w:t>
      </w:r>
      <w:proofErr w:type="spellEnd"/>
      <w:r>
        <w:rPr>
          <w:sz w:val="22"/>
        </w:rPr>
        <w:t xml:space="preserve"> Steel B.V. und Hauptsitz in der Region Amsterdam, das die Nummer zwei auf dem europäischen Markt für Qualitätsflachstahl sein wird, soll mit einem starken Fokus auf Leistung, Qualität und Technologieführerschaft positioniert werden. </w:t>
      </w:r>
    </w:p>
    <w:p w:rsidR="00B21B3C" w:rsidRDefault="00B21B3C" w:rsidP="00B21B3C">
      <w:pPr>
        <w:jc w:val="both"/>
        <w:rPr>
          <w:sz w:val="22"/>
        </w:rPr>
      </w:pPr>
    </w:p>
    <w:p w:rsidR="00B21B3C" w:rsidRDefault="00B21B3C" w:rsidP="00B21B3C">
      <w:pPr>
        <w:jc w:val="both"/>
        <w:rPr>
          <w:sz w:val="22"/>
        </w:rPr>
      </w:pPr>
      <w:r>
        <w:rPr>
          <w:sz w:val="22"/>
        </w:rPr>
        <w:t xml:space="preserve">T.V. Narendran, CEO und Managing </w:t>
      </w:r>
      <w:proofErr w:type="spellStart"/>
      <w:r>
        <w:rPr>
          <w:sz w:val="22"/>
        </w:rPr>
        <w:t>Director</w:t>
      </w:r>
      <w:proofErr w:type="spellEnd"/>
      <w:r>
        <w:rPr>
          <w:sz w:val="22"/>
        </w:rPr>
        <w:t xml:space="preserve"> von </w:t>
      </w:r>
      <w:proofErr w:type="spellStart"/>
      <w:r>
        <w:rPr>
          <w:sz w:val="22"/>
        </w:rPr>
        <w:t>Tata</w:t>
      </w:r>
      <w:proofErr w:type="spellEnd"/>
      <w:r>
        <w:rPr>
          <w:sz w:val="22"/>
        </w:rPr>
        <w:t xml:space="preserve"> Steel: „Ich bin fest davon überzeugt, dass uns mit der Besetzung des Vorstands eine starke Kombination aus Branchen- und Führungserfahrung gelungen ist, die eine erfolgreiche und nachhaltige Zukunft für das geplante Joint Venture gewährleistet. Dies ist ein wichtiger Schritt in unseren Vorbereitungen zur Gründung des geplanten Joint Ventures." </w:t>
      </w:r>
    </w:p>
    <w:p w:rsidR="00B21B3C" w:rsidRDefault="00B21B3C" w:rsidP="00B21B3C">
      <w:pPr>
        <w:jc w:val="both"/>
        <w:rPr>
          <w:sz w:val="22"/>
        </w:rPr>
      </w:pPr>
    </w:p>
    <w:p w:rsidR="00B21B3C" w:rsidRDefault="00B21B3C" w:rsidP="00B21B3C">
      <w:pPr>
        <w:jc w:val="both"/>
        <w:rPr>
          <w:sz w:val="22"/>
        </w:rPr>
      </w:pPr>
      <w:r>
        <w:rPr>
          <w:sz w:val="22"/>
        </w:rPr>
        <w:lastRenderedPageBreak/>
        <w:t xml:space="preserve">Guido Kerkhoff, Vorstandsvorsitzender von </w:t>
      </w:r>
      <w:proofErr w:type="spellStart"/>
      <w:r>
        <w:rPr>
          <w:sz w:val="22"/>
        </w:rPr>
        <w:t>thyssenkrupp</w:t>
      </w:r>
      <w:proofErr w:type="spellEnd"/>
      <w:r>
        <w:rPr>
          <w:sz w:val="22"/>
        </w:rPr>
        <w:t xml:space="preserve">: „Wir haben den geeigneten Vorstand gefunden, um das geplante Joint Venture zu einer starken Nummer zwei auf dem europäischen Markt für Qualitätsflachstahl zu entwickeln. Für die erfolgreiche Umsetzung des Joint Ventures braucht es technisches und operatives Know-how und interkulturelles Verständnis – Eigenschaften, für die der künftige Vorstand mit seiner Erfahrung steht. Damit können wir das geplante Joint Venture optimal auf die zukünftigen Herausforderungen der Branche und die Bedürfnisse der Kunden ausrichten.“ </w:t>
      </w:r>
    </w:p>
    <w:p w:rsidR="00B21B3C" w:rsidRDefault="00B21B3C" w:rsidP="00B21B3C">
      <w:pPr>
        <w:jc w:val="both"/>
        <w:rPr>
          <w:sz w:val="22"/>
        </w:rPr>
      </w:pPr>
    </w:p>
    <w:p w:rsidR="00B21B3C" w:rsidRDefault="00B21B3C" w:rsidP="00B21B3C">
      <w:pPr>
        <w:jc w:val="both"/>
        <w:rPr>
          <w:sz w:val="22"/>
        </w:rPr>
      </w:pPr>
      <w:r>
        <w:rPr>
          <w:sz w:val="22"/>
        </w:rPr>
        <w:t xml:space="preserve">Der Zusammenschluss steht noch unter dem Vorbehalt der Zustimmung diverser Kartellbehörden, u.a. der Kommission der Europäischen Union. Beide Unternehmen beabsichtigen, den konstruktiven Dialog mit der Europäischen Kommission im Rahmen des laufenden Fusionskontrollverfahrens fortzusetzen, um den erfolgreichen Abschluss der Transaktion so schnell wie möglich sicherzustellen. </w:t>
      </w:r>
    </w:p>
    <w:p w:rsidR="00B21B3C" w:rsidRDefault="00B21B3C" w:rsidP="00B21B3C">
      <w:pPr>
        <w:jc w:val="both"/>
        <w:rPr>
          <w:sz w:val="22"/>
        </w:rPr>
      </w:pPr>
    </w:p>
    <w:p w:rsidR="00B21B3C" w:rsidRDefault="00B21B3C" w:rsidP="00B21B3C">
      <w:pPr>
        <w:jc w:val="both"/>
        <w:rPr>
          <w:sz w:val="22"/>
        </w:rPr>
      </w:pPr>
      <w:r>
        <w:rPr>
          <w:sz w:val="22"/>
        </w:rPr>
        <w:t xml:space="preserve">Bis zum </w:t>
      </w:r>
      <w:proofErr w:type="spellStart"/>
      <w:r>
        <w:rPr>
          <w:sz w:val="22"/>
        </w:rPr>
        <w:t>Closing</w:t>
      </w:r>
      <w:proofErr w:type="spellEnd"/>
      <w:r>
        <w:rPr>
          <w:sz w:val="22"/>
        </w:rPr>
        <w:t xml:space="preserve"> werden </w:t>
      </w:r>
      <w:proofErr w:type="spellStart"/>
      <w:r>
        <w:rPr>
          <w:sz w:val="22"/>
        </w:rPr>
        <w:t>thyssenkrupp</w:t>
      </w:r>
      <w:proofErr w:type="spellEnd"/>
      <w:r>
        <w:rPr>
          <w:sz w:val="22"/>
        </w:rPr>
        <w:t xml:space="preserve"> Steel Europe und </w:t>
      </w:r>
      <w:proofErr w:type="spellStart"/>
      <w:r>
        <w:rPr>
          <w:sz w:val="22"/>
        </w:rPr>
        <w:t>Tata</w:t>
      </w:r>
      <w:proofErr w:type="spellEnd"/>
      <w:r>
        <w:rPr>
          <w:sz w:val="22"/>
        </w:rPr>
        <w:t xml:space="preserve"> Steel Europe weiterhin als eigenständige Unternehmen agieren, die miteinander im Wettbewerb stehen. Für die Mitglieder des designierten Vorstands bedeutet das, dass sie bis zum endgültigen Abschluss der Transaktion ausschließlich ihren derzeitigen Aufgaben in der Geschäftsführung ihrer jeweiligen Unternehmen nachkommen.</w:t>
      </w:r>
    </w:p>
    <w:p w:rsidR="002F56D0" w:rsidRDefault="002F56D0" w:rsidP="00F4093A"/>
    <w:p w:rsidR="002F56D0" w:rsidRDefault="002F56D0" w:rsidP="00F4093A"/>
    <w:p w:rsidR="002F56D0" w:rsidRPr="006E7BC0" w:rsidRDefault="006E7BC0" w:rsidP="00F4093A">
      <w:pPr>
        <w:rPr>
          <w:b/>
          <w:lang w:val="en-US"/>
        </w:rPr>
      </w:pPr>
      <w:proofErr w:type="spellStart"/>
      <w:r w:rsidRPr="006E7BC0">
        <w:rPr>
          <w:b/>
          <w:lang w:val="en-US"/>
        </w:rPr>
        <w:t>Ansprechpartner</w:t>
      </w:r>
      <w:proofErr w:type="spellEnd"/>
      <w:r w:rsidRPr="006E7BC0">
        <w:rPr>
          <w:b/>
          <w:lang w:val="en-US"/>
        </w:rPr>
        <w:t>:</w:t>
      </w:r>
    </w:p>
    <w:p w:rsidR="006E7BC0" w:rsidRPr="006E7BC0" w:rsidRDefault="006E7BC0" w:rsidP="006E7BC0">
      <w:pPr>
        <w:rPr>
          <w:rFonts w:ascii="TKTypeRegular" w:hAnsi="TKTypeRegular"/>
          <w:color w:val="000000"/>
          <w:szCs w:val="20"/>
          <w:lang w:val="en-US"/>
        </w:rPr>
      </w:pPr>
      <w:proofErr w:type="spellStart"/>
      <w:proofErr w:type="gramStart"/>
      <w:r w:rsidRPr="006E7BC0">
        <w:rPr>
          <w:rFonts w:ascii="TKTypeRegular" w:hAnsi="TKTypeRegular"/>
          <w:color w:val="000000"/>
          <w:szCs w:val="20"/>
          <w:lang w:val="en-US"/>
        </w:rPr>
        <w:t>thyssenkrupp</w:t>
      </w:r>
      <w:proofErr w:type="spellEnd"/>
      <w:proofErr w:type="gramEnd"/>
      <w:r w:rsidRPr="006E7BC0">
        <w:rPr>
          <w:rFonts w:ascii="TKTypeRegular" w:hAnsi="TKTypeRegular"/>
          <w:color w:val="000000"/>
          <w:szCs w:val="20"/>
          <w:lang w:val="en-US"/>
        </w:rPr>
        <w:t xml:space="preserve"> AG Communications</w:t>
      </w:r>
      <w:r w:rsidRPr="006E7BC0">
        <w:rPr>
          <w:rFonts w:ascii="TKTypeRegular" w:hAnsi="TKTypeRegular"/>
          <w:color w:val="000000"/>
          <w:szCs w:val="20"/>
          <w:lang w:val="en-US"/>
        </w:rPr>
        <w:tab/>
      </w:r>
      <w:r w:rsidRPr="006E7BC0">
        <w:rPr>
          <w:rFonts w:ascii="TKTypeRegular" w:hAnsi="TKTypeRegular"/>
          <w:color w:val="000000"/>
          <w:szCs w:val="20"/>
          <w:lang w:val="en-US"/>
        </w:rPr>
        <w:tab/>
      </w:r>
      <w:r w:rsidRPr="006E7BC0">
        <w:rPr>
          <w:rFonts w:ascii="TKTypeRegular" w:hAnsi="TKTypeRegular"/>
          <w:color w:val="000000"/>
          <w:szCs w:val="20"/>
          <w:lang w:val="en-US"/>
        </w:rPr>
        <w:tab/>
        <w:t>Tata Steel Limited</w:t>
      </w:r>
    </w:p>
    <w:p w:rsidR="006E7BC0" w:rsidRPr="00BB570C" w:rsidRDefault="006E7BC0" w:rsidP="006E7BC0">
      <w:pPr>
        <w:rPr>
          <w:rFonts w:ascii="TKTypeRegular" w:hAnsi="TKTypeRegular"/>
          <w:color w:val="000000"/>
          <w:szCs w:val="20"/>
        </w:rPr>
      </w:pPr>
      <w:r w:rsidRPr="00BB570C">
        <w:rPr>
          <w:rFonts w:ascii="TKTypeRegular" w:hAnsi="TKTypeRegular"/>
          <w:color w:val="000000"/>
          <w:szCs w:val="20"/>
        </w:rPr>
        <w:t>Peter Sauer</w:t>
      </w:r>
      <w:r w:rsidRPr="00BB570C">
        <w:rPr>
          <w:rFonts w:ascii="TKTypeRegular" w:hAnsi="TKTypeRegular"/>
          <w:color w:val="000000"/>
          <w:szCs w:val="20"/>
        </w:rPr>
        <w:tab/>
      </w:r>
      <w:r w:rsidRPr="00BB570C">
        <w:rPr>
          <w:rFonts w:ascii="TKTypeRegular" w:hAnsi="TKTypeRegular"/>
          <w:color w:val="000000"/>
          <w:szCs w:val="20"/>
        </w:rPr>
        <w:tab/>
      </w:r>
      <w:r w:rsidRPr="00BB570C">
        <w:rPr>
          <w:rFonts w:ascii="TKTypeRegular" w:hAnsi="TKTypeRegular"/>
          <w:color w:val="000000"/>
          <w:szCs w:val="20"/>
        </w:rPr>
        <w:tab/>
      </w:r>
      <w:r w:rsidRPr="00BB570C">
        <w:rPr>
          <w:rFonts w:ascii="TKTypeRegular" w:hAnsi="TKTypeRegular"/>
          <w:color w:val="000000"/>
          <w:szCs w:val="20"/>
        </w:rPr>
        <w:tab/>
      </w:r>
      <w:r w:rsidRPr="00BB570C">
        <w:rPr>
          <w:rFonts w:ascii="TKTypeRegular" w:hAnsi="TKTypeRegular"/>
          <w:color w:val="000000"/>
          <w:szCs w:val="20"/>
        </w:rPr>
        <w:tab/>
      </w:r>
      <w:proofErr w:type="spellStart"/>
      <w:r>
        <w:rPr>
          <w:rFonts w:ascii="TKTypeRegular" w:hAnsi="TKTypeRegular"/>
          <w:color w:val="000000"/>
          <w:szCs w:val="20"/>
        </w:rPr>
        <w:t>Kulvin</w:t>
      </w:r>
      <w:proofErr w:type="spellEnd"/>
      <w:r>
        <w:rPr>
          <w:rFonts w:ascii="TKTypeRegular" w:hAnsi="TKTypeRegular"/>
          <w:color w:val="000000"/>
          <w:szCs w:val="20"/>
        </w:rPr>
        <w:t xml:space="preserve"> </w:t>
      </w:r>
      <w:proofErr w:type="spellStart"/>
      <w:r>
        <w:rPr>
          <w:rFonts w:ascii="TKTypeRegular" w:hAnsi="TKTypeRegular"/>
          <w:color w:val="000000"/>
          <w:szCs w:val="20"/>
        </w:rPr>
        <w:t>Suri</w:t>
      </w:r>
      <w:proofErr w:type="spellEnd"/>
    </w:p>
    <w:p w:rsidR="006E7BC0" w:rsidRPr="008F26C4" w:rsidRDefault="006E7BC0" w:rsidP="006E7BC0">
      <w:pPr>
        <w:rPr>
          <w:rFonts w:ascii="TKTypeRegular" w:hAnsi="TKTypeRegular"/>
          <w:color w:val="000000"/>
          <w:szCs w:val="20"/>
        </w:rPr>
      </w:pPr>
      <w:r w:rsidRPr="008F26C4">
        <w:rPr>
          <w:rFonts w:ascii="TKTypeRegular" w:hAnsi="TKTypeRegular"/>
          <w:color w:val="000000"/>
          <w:szCs w:val="20"/>
        </w:rPr>
        <w:t>Telefon: +49 (201) 844-536791</w:t>
      </w:r>
      <w:r w:rsidRPr="008F26C4">
        <w:rPr>
          <w:rFonts w:ascii="TKTypeRegular" w:hAnsi="TKTypeRegular"/>
          <w:color w:val="000000"/>
          <w:szCs w:val="20"/>
        </w:rPr>
        <w:tab/>
      </w:r>
      <w:r w:rsidRPr="008F26C4">
        <w:rPr>
          <w:rFonts w:ascii="TKTypeRegular" w:hAnsi="TKTypeRegular"/>
          <w:color w:val="000000"/>
          <w:szCs w:val="20"/>
        </w:rPr>
        <w:tab/>
      </w:r>
      <w:r w:rsidRPr="008F26C4">
        <w:rPr>
          <w:rFonts w:ascii="TKTypeRegular" w:hAnsi="TKTypeRegular"/>
          <w:color w:val="000000"/>
          <w:szCs w:val="20"/>
        </w:rPr>
        <w:tab/>
      </w:r>
      <w:r w:rsidRPr="006E7BC0">
        <w:rPr>
          <w:rFonts w:ascii="TKTypeRegular" w:hAnsi="TKTypeRegular"/>
          <w:color w:val="000000"/>
          <w:szCs w:val="20"/>
        </w:rPr>
        <w:t>+91 (33) 22881756</w:t>
      </w:r>
      <w:r>
        <w:rPr>
          <w:rFonts w:ascii="TKTypeRegular" w:hAnsi="TKTypeRegular"/>
          <w:color w:val="000000"/>
          <w:szCs w:val="20"/>
        </w:rPr>
        <w:tab/>
      </w:r>
    </w:p>
    <w:p w:rsidR="006E7BC0" w:rsidRPr="006E7BC0" w:rsidRDefault="006E7BC0" w:rsidP="006E7BC0">
      <w:pPr>
        <w:rPr>
          <w:rFonts w:ascii="TKTypeRegular" w:hAnsi="TKTypeRegular"/>
          <w:color w:val="000000"/>
          <w:szCs w:val="20"/>
          <w:lang w:val="en-US"/>
        </w:rPr>
      </w:pPr>
      <w:proofErr w:type="gramStart"/>
      <w:r w:rsidRPr="006E7BC0">
        <w:rPr>
          <w:rFonts w:ascii="TKTypeRegular" w:hAnsi="TKTypeRegular"/>
          <w:color w:val="000000"/>
          <w:szCs w:val="20"/>
          <w:lang w:val="en-US"/>
        </w:rPr>
        <w:t>mailto</w:t>
      </w:r>
      <w:proofErr w:type="gramEnd"/>
      <w:r w:rsidRPr="006E7BC0">
        <w:rPr>
          <w:rFonts w:ascii="TKTypeRegular" w:hAnsi="TKTypeRegular"/>
          <w:color w:val="000000"/>
          <w:szCs w:val="20"/>
          <w:lang w:val="en-US"/>
        </w:rPr>
        <w:t xml:space="preserve">: </w:t>
      </w:r>
      <w:hyperlink r:id="rId9" w:history="1">
        <w:r w:rsidRPr="006E7BC0">
          <w:rPr>
            <w:rStyle w:val="Hyperlink"/>
            <w:rFonts w:ascii="TKTypeRegular" w:hAnsi="TKTypeRegular"/>
            <w:szCs w:val="20"/>
            <w:lang w:val="en-US"/>
          </w:rPr>
          <w:t>press@thyssenkrupp.com</w:t>
        </w:r>
      </w:hyperlink>
      <w:r w:rsidRPr="006E7BC0">
        <w:rPr>
          <w:rFonts w:ascii="TKTypeRegular" w:hAnsi="TKTypeRegular"/>
          <w:color w:val="000000"/>
          <w:szCs w:val="20"/>
          <w:lang w:val="en-US"/>
        </w:rPr>
        <w:t xml:space="preserve"> </w:t>
      </w:r>
      <w:r w:rsidRPr="006E7BC0">
        <w:rPr>
          <w:rFonts w:ascii="TKTypeRegular" w:hAnsi="TKTypeRegular"/>
          <w:color w:val="000000"/>
          <w:szCs w:val="20"/>
          <w:lang w:val="en-US"/>
        </w:rPr>
        <w:tab/>
      </w:r>
      <w:r w:rsidRPr="006E7BC0">
        <w:rPr>
          <w:rFonts w:ascii="TKTypeRegular" w:hAnsi="TKTypeRegular"/>
          <w:color w:val="000000"/>
          <w:szCs w:val="20"/>
          <w:lang w:val="en-US"/>
        </w:rPr>
        <w:tab/>
      </w:r>
      <w:r w:rsidRPr="006E7BC0">
        <w:rPr>
          <w:rFonts w:ascii="TKTypeRegular" w:hAnsi="TKTypeRegular"/>
          <w:color w:val="000000"/>
          <w:szCs w:val="20"/>
          <w:lang w:val="en-US"/>
        </w:rPr>
        <w:tab/>
        <w:t>kulvinsuri@tatasteel.com</w:t>
      </w:r>
    </w:p>
    <w:p w:rsidR="002F56D0" w:rsidRPr="006E7BC0" w:rsidRDefault="002F56D0" w:rsidP="00F4093A">
      <w:pPr>
        <w:rPr>
          <w:lang w:val="en-US"/>
        </w:rPr>
      </w:pPr>
    </w:p>
    <w:p w:rsidR="002F56D0" w:rsidRPr="006E7BC0" w:rsidRDefault="002F56D0" w:rsidP="00F4093A">
      <w:pPr>
        <w:rPr>
          <w:lang w:val="en-US"/>
        </w:rPr>
      </w:pPr>
    </w:p>
    <w:p w:rsidR="002F56D0" w:rsidRDefault="00AE620D" w:rsidP="002F56D0">
      <w:hyperlink r:id="rId10" w:history="1">
        <w:r w:rsidR="002F56D0" w:rsidRPr="00C66047">
          <w:rPr>
            <w:rStyle w:val="Hyperlink"/>
          </w:rPr>
          <w:t>www.thyssenkrupp.com</w:t>
        </w:r>
      </w:hyperlink>
    </w:p>
    <w:p w:rsidR="002F56D0" w:rsidRPr="00894382" w:rsidRDefault="002F56D0" w:rsidP="002F56D0">
      <w:r>
        <w:t xml:space="preserve">Twitter: </w:t>
      </w:r>
      <w:hyperlink r:id="rId11" w:history="1">
        <w:r w:rsidRPr="00F41068">
          <w:rPr>
            <w:rStyle w:val="Hyperlink"/>
          </w:rPr>
          <w:t>@thyssenkrupp</w:t>
        </w:r>
      </w:hyperlink>
    </w:p>
    <w:p w:rsidR="002F56D0" w:rsidRPr="002F56D0" w:rsidRDefault="002F56D0" w:rsidP="002F56D0">
      <w:r w:rsidRPr="002F56D0">
        <w:t xml:space="preserve">Company blog: </w:t>
      </w:r>
      <w:hyperlink r:id="rId12" w:history="1">
        <w:r w:rsidRPr="002F56D0">
          <w:rPr>
            <w:rStyle w:val="Hyperlink"/>
            <w:rFonts w:ascii="TKTypeRegular" w:hAnsi="TKTypeRegular"/>
          </w:rPr>
          <w:t>https://engineered.thyssenkrupp.com</w:t>
        </w:r>
      </w:hyperlink>
    </w:p>
    <w:p w:rsidR="002F56D0" w:rsidRDefault="002F56D0" w:rsidP="00F4093A"/>
    <w:sectPr w:rsidR="002F56D0" w:rsidSect="008D3DFA">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36" w:rsidRDefault="004E0336" w:rsidP="005B5ABA">
      <w:pPr>
        <w:spacing w:line="240" w:lineRule="auto"/>
      </w:pPr>
      <w:r>
        <w:separator/>
      </w:r>
    </w:p>
  </w:endnote>
  <w:endnote w:type="continuationSeparator" w:id="0">
    <w:p w:rsidR="004E0336" w:rsidRDefault="004E0336"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Franklin Gothic Medium Cond"/>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Franklin Gothic Medium Cond"/>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TKTypeBold">
    <w:altName w:val="Calibri"/>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0D" w:rsidRDefault="00AE620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6E9DB03E" wp14:editId="327F3389">
              <wp:simplePos x="0" y="0"/>
              <wp:positionH relativeFrom="page">
                <wp:posOffset>889000</wp:posOffset>
              </wp:positionH>
              <wp:positionV relativeFrom="page">
                <wp:posOffset>9523095</wp:posOffset>
              </wp:positionV>
              <wp:extent cx="5954400" cy="745200"/>
              <wp:effectExtent l="0" t="0" r="8255" b="0"/>
              <wp:wrapTopAndBottom/>
              <wp:docPr id="6" name="Rechteck 6"/>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21B3C" w:rsidRDefault="00B21B3C" w:rsidP="00B21B3C">
                          <w:pPr>
                            <w:pStyle w:val="Fuzeile"/>
                          </w:pPr>
                          <w:proofErr w:type="spellStart"/>
                          <w:r>
                            <w:t>thyssenkrupp</w:t>
                          </w:r>
                          <w:proofErr w:type="spellEnd"/>
                          <w:r>
                            <w:t xml:space="preserve"> AG, </w:t>
                          </w:r>
                          <w:proofErr w:type="spellStart"/>
                          <w:r>
                            <w:t>thyssenkrupp</w:t>
                          </w:r>
                          <w:proofErr w:type="spellEnd"/>
                          <w:r>
                            <w:t xml:space="preserve"> Allee 1, 45143 Essen, Deutschland, T: +49 201 844</w:t>
                          </w:r>
                          <w:r>
                            <w:rPr>
                              <w:rFonts w:ascii="Arial" w:hAnsi="Arial" w:cs="Arial"/>
                            </w:rPr>
                            <w:t> </w:t>
                          </w:r>
                          <w:r>
                            <w:t>-</w:t>
                          </w:r>
                          <w:r>
                            <w:rPr>
                              <w:rFonts w:ascii="Arial" w:hAnsi="Arial" w:cs="Arial"/>
                            </w:rPr>
                            <w:t> </w:t>
                          </w:r>
                          <w:r>
                            <w:t>536236, press@thyssenkrupp.com, www.thyssenkrupp.com</w:t>
                          </w:r>
                        </w:p>
                        <w:p w:rsidR="00B21B3C" w:rsidRDefault="00B21B3C" w:rsidP="00B21B3C">
                          <w:pPr>
                            <w:pStyle w:val="Fuzeile"/>
                          </w:pPr>
                          <w:r>
                            <w:t>Vorsitzender des Aufsichtsrats: Prof. Dr. Bernhard Pellens,  Vorstand: Guido Kerkhoff (Vorsitzender) Oliver Burkhard, Dr. Donatus Kaufmann</w:t>
                          </w:r>
                        </w:p>
                        <w:p w:rsidR="005A1A95" w:rsidRPr="00AF75F1" w:rsidRDefault="00B21B3C" w:rsidP="00B21B3C">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70pt;margin-top:749.85pt;width:468.8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Au40E3&#10;gAIAAFsFAAAOAAAAAAAAAAAAAAAAAC4CAABkcnMvZTJvRG9jLnhtbFBLAQItABQABgAIAAAAIQCE&#10;15dS4AAAAA4BAAAPAAAAAAAAAAAAAAAAANoEAABkcnMvZG93bnJldi54bWxQSwUGAAAAAAQABADz&#10;AAAA5wUAAAAA&#10;" filled="f" stroked="f" strokeweight="1pt">
              <v:textbox inset="0,0,0,0">
                <w:txbxContent>
                  <w:p w:rsidR="00B21B3C" w:rsidRDefault="00B21B3C" w:rsidP="00B21B3C">
                    <w:pPr>
                      <w:pStyle w:val="Fuzeile"/>
                    </w:pPr>
                    <w:proofErr w:type="spellStart"/>
                    <w:r>
                      <w:t>thyssenkrupp</w:t>
                    </w:r>
                    <w:proofErr w:type="spellEnd"/>
                    <w:r>
                      <w:t xml:space="preserve"> AG, </w:t>
                    </w:r>
                    <w:proofErr w:type="spellStart"/>
                    <w:r>
                      <w:t>thyssenkrupp</w:t>
                    </w:r>
                    <w:proofErr w:type="spellEnd"/>
                    <w:r>
                      <w:t xml:space="preserve"> Allee 1, 45143 Essen, Deutschland, T: +49 201 844</w:t>
                    </w:r>
                    <w:r>
                      <w:rPr>
                        <w:rFonts w:ascii="Arial" w:hAnsi="Arial" w:cs="Arial"/>
                      </w:rPr>
                      <w:t> </w:t>
                    </w:r>
                    <w:r>
                      <w:t>-</w:t>
                    </w:r>
                    <w:r>
                      <w:rPr>
                        <w:rFonts w:ascii="Arial" w:hAnsi="Arial" w:cs="Arial"/>
                      </w:rPr>
                      <w:t> </w:t>
                    </w:r>
                    <w:r>
                      <w:t>536236, press@thyssenkrupp.com, www.thyssenkrupp.com</w:t>
                    </w:r>
                  </w:p>
                  <w:p w:rsidR="00B21B3C" w:rsidRDefault="00B21B3C" w:rsidP="00B21B3C">
                    <w:pPr>
                      <w:pStyle w:val="Fuzeile"/>
                    </w:pPr>
                    <w:r>
                      <w:t>Vorsitzender des Aufsichtsrats: Prof. Dr. Bernhard Pellens,  Vorstand: Guido Kerkhoff (Vorsitzender) Oliver Burkhard, Dr. Donatus Kaufmann</w:t>
                    </w:r>
                  </w:p>
                  <w:p w:rsidR="005A1A95" w:rsidRPr="00AF75F1" w:rsidRDefault="00B21B3C" w:rsidP="00B21B3C">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098107A9" wp14:editId="360FA355">
              <wp:simplePos x="0" y="0"/>
              <wp:positionH relativeFrom="page">
                <wp:posOffset>889000</wp:posOffset>
              </wp:positionH>
              <wp:positionV relativeFrom="page">
                <wp:posOffset>9523095</wp:posOffset>
              </wp:positionV>
              <wp:extent cx="5954400" cy="745200"/>
              <wp:effectExtent l="0" t="0" r="8255" b="0"/>
              <wp:wrapTopAndBottom/>
              <wp:docPr id="5" name="Rechteck 5"/>
              <wp:cNvGraphicFramePr/>
              <a:graphic xmlns:a="http://schemas.openxmlformats.org/drawingml/2006/main">
                <a:graphicData uri="http://schemas.microsoft.com/office/word/2010/wordprocessingShape">
                  <wps:wsp>
                    <wps:cNvSpPr/>
                    <wps:spPr>
                      <a:xfrm>
                        <a:off x="0" y="0"/>
                        <a:ext cx="5954400"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w:t>
                          </w:r>
                          <w:r w:rsidR="00BD6463">
                            <w:t xml:space="preserve"> </w:t>
                          </w:r>
                          <w:r w:rsidR="00183E8C">
                            <w:t xml:space="preserve">Prof. Dr. Bernhard Pellens, </w:t>
                          </w:r>
                          <w:r w:rsidR="00A03187">
                            <w:t xml:space="preserve"> Vorstand: </w:t>
                          </w:r>
                          <w:r w:rsidR="00387833">
                            <w:t>Guido Kerkhoff</w:t>
                          </w:r>
                          <w:r w:rsidR="007C7B09">
                            <w:t xml:space="preserve"> (</w:t>
                          </w:r>
                          <w:r w:rsidR="00387833">
                            <w:t>Vorsitzender</w:t>
                          </w:r>
                          <w:r w:rsidR="007C7B09">
                            <w:t>)</w:t>
                          </w:r>
                          <w:r w:rsidR="00387833">
                            <w:t xml:space="preserve"> </w:t>
                          </w:r>
                          <w:r>
                            <w:t>Oliver Burkha</w:t>
                          </w:r>
                          <w:r w:rsidR="00387833">
                            <w:t>rd, Dr. Donatus Kaufmann</w:t>
                          </w:r>
                        </w:p>
                        <w:p w:rsidR="007D3550" w:rsidRPr="00AF75F1" w:rsidRDefault="00957075" w:rsidP="00957075">
                          <w:pPr>
                            <w:pStyle w:val="Fuzeile"/>
                          </w:pPr>
                          <w:r>
                            <w:t>Sitz der Gesellschaft: Duisburg und Essen, Registergerichte: Duisburg HR B 9092, Essen HR B 15364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70pt;margin-top:749.85pt;width:468.85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" filled="f" stroked="f" strokeweight="1pt">
              <v:textbox inset="0,0,0,0">
                <w:txbxContent>
                  <w:p w:rsidR="00957075" w:rsidRDefault="00957075" w:rsidP="00957075">
                    <w:pPr>
                      <w:pStyle w:val="Fuzeile"/>
                    </w:pPr>
                    <w:r>
                      <w:t>thyssenkrupp AG, thyssenkrupp Allee 1, 45143 Essen, Deutschland, T: +49 201 844</w:t>
                    </w:r>
                    <w:r>
                      <w:rPr>
                        <w:rFonts w:ascii="Arial" w:hAnsi="Arial" w:cs="Arial"/>
                      </w:rPr>
                      <w:t> </w:t>
                    </w:r>
                    <w:r>
                      <w:t>-</w:t>
                    </w:r>
                    <w:r>
                      <w:rPr>
                        <w:rFonts w:ascii="Arial" w:hAnsi="Arial" w:cs="Arial"/>
                      </w:rPr>
                      <w:t> </w:t>
                    </w:r>
                    <w:r>
                      <w:t>536236, press@thyssenkrupp.com, www.thyssenkrupp.com</w:t>
                    </w:r>
                  </w:p>
                  <w:p w:rsidR="00957075" w:rsidRDefault="00957075" w:rsidP="00957075">
                    <w:pPr>
                      <w:pStyle w:val="Fuzeile"/>
                    </w:pPr>
                    <w:r>
                      <w:t>Vorsitzender des Aufsichtsrats:</w:t>
                    </w:r>
                    <w:r w:rsidR="00BD6463">
                      <w:t xml:space="preserve"> </w:t>
                    </w:r>
                    <w:r w:rsidR="00183E8C">
                      <w:t xml:space="preserve">Prof. Dr. Bernhard Pellens, </w:t>
                    </w:r>
                    <w:r w:rsidR="00A03187">
                      <w:t xml:space="preserve"> Vorstand: </w:t>
                    </w:r>
                    <w:r w:rsidR="00387833">
                      <w:t>Guido Kerkhoff</w:t>
                    </w:r>
                    <w:r w:rsidR="007C7B09">
                      <w:t xml:space="preserve"> (</w:t>
                    </w:r>
                    <w:r w:rsidR="00387833">
                      <w:t>Vorsitzender</w:t>
                    </w:r>
                    <w:r w:rsidR="007C7B09">
                      <w:t>)</w:t>
                    </w:r>
                    <w:r w:rsidR="00387833">
                      <w:t xml:space="preserve"> </w:t>
                    </w:r>
                    <w:r>
                      <w:t>Oliver Burkha</w:t>
                    </w:r>
                    <w:r w:rsidR="00387833">
                      <w:t>rd, Dr. Donatus Kaufmann</w:t>
                    </w:r>
                  </w:p>
                  <w:p w:rsidR="007D3550" w:rsidRPr="00AF75F1" w:rsidRDefault="00957075" w:rsidP="00957075">
                    <w:pPr>
                      <w:pStyle w:val="Fuzeile"/>
                    </w:pPr>
                    <w:r>
                      <w:t>Sitz der Gesellschaft: Duisburg und Essen, Registergerichte: Duisburg HR B 9092, Essen HR B 15364</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36" w:rsidRDefault="004E0336" w:rsidP="005B5ABA">
      <w:pPr>
        <w:spacing w:line="240" w:lineRule="auto"/>
      </w:pPr>
      <w:r>
        <w:separator/>
      </w:r>
    </w:p>
  </w:footnote>
  <w:footnote w:type="continuationSeparator" w:id="0">
    <w:p w:rsidR="004E0336" w:rsidRDefault="004E0336"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0D" w:rsidRDefault="00AE620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AE620D" w:rsidP="008D3DFA">
    <w:pPr>
      <w:pStyle w:val="Kopfzeile"/>
      <w:spacing w:after="870" w:line="280" w:lineRule="atLeast"/>
    </w:pPr>
    <w:bookmarkStart w:id="0" w:name="_GoBack"/>
    <w:r>
      <w:rPr>
        <w:noProof/>
        <w:lang w:eastAsia="de-DE"/>
      </w:rPr>
      <w:drawing>
        <wp:anchor distT="0" distB="0" distL="114300" distR="114300" simplePos="0" relativeHeight="251682816" behindDoc="1" locked="0" layoutInCell="1" allowOverlap="1" wp14:anchorId="349829DA" wp14:editId="4C8A5A60">
          <wp:simplePos x="0" y="0"/>
          <wp:positionH relativeFrom="column">
            <wp:posOffset>154940</wp:posOffset>
          </wp:positionH>
          <wp:positionV relativeFrom="paragraph">
            <wp:posOffset>189865</wp:posOffset>
          </wp:positionV>
          <wp:extent cx="1048385" cy="908685"/>
          <wp:effectExtent l="0" t="0" r="0" b="571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908685"/>
                  </a:xfrm>
                  <a:prstGeom prst="rect">
                    <a:avLst/>
                  </a:prstGeom>
                  <a:noFill/>
                </pic:spPr>
              </pic:pic>
            </a:graphicData>
          </a:graphic>
          <wp14:sizeRelH relativeFrom="page">
            <wp14:pctWidth>0</wp14:pctWidth>
          </wp14:sizeRelH>
          <wp14:sizeRelV relativeFrom="page">
            <wp14:pctHeight>0</wp14:pctHeight>
          </wp14:sizeRelV>
        </wp:anchor>
      </w:drawing>
    </w:r>
    <w:bookmarkEnd w:id="0"/>
    <w:r w:rsidR="00CA4CEB">
      <w:rPr>
        <w:noProof/>
        <w:lang w:eastAsia="de-DE"/>
      </w:rPr>
      <w:drawing>
        <wp:anchor distT="0" distB="0" distL="114300" distR="114300" simplePos="0" relativeHeight="251675648" behindDoc="1" locked="0" layoutInCell="1" allowOverlap="1" wp14:anchorId="1D3A0B69" wp14:editId="56D48D7D">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344E627" wp14:editId="753E35AA">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AE620D" w:rsidP="001E7E0A">
                          <w:pPr>
                            <w:pStyle w:val="Datumsangabe"/>
                          </w:pPr>
                          <w:r>
                            <w:fldChar w:fldCharType="begin"/>
                          </w:r>
                          <w:r>
                            <w:instrText xml:space="preserve"> STYLEREF  Datumsangabe  \* MERGEFORMAT </w:instrText>
                          </w:r>
                          <w:r>
                            <w:fldChar w:fldCharType="separate"/>
                          </w:r>
                          <w:r>
                            <w:rPr>
                              <w:noProof/>
                            </w:rPr>
                            <w:t>17. Dezember 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E620D">
                            <w:rPr>
                              <w:noProof/>
                            </w:rPr>
                            <w:t>2</w:t>
                          </w:r>
                          <w:r>
                            <w:fldChar w:fldCharType="end"/>
                          </w:r>
                          <w:r>
                            <w:t>/</w:t>
                          </w:r>
                          <w:r w:rsidR="00AE620D">
                            <w:fldChar w:fldCharType="begin"/>
                          </w:r>
                          <w:r w:rsidR="00AE620D">
                            <w:instrText xml:space="preserve"> NUMPAGES   \* MERGEFORMAT </w:instrText>
                          </w:r>
                          <w:r w:rsidR="00AE620D">
                            <w:fldChar w:fldCharType="separate"/>
                          </w:r>
                          <w:r w:rsidR="00AE620D">
                            <w:rPr>
                              <w:noProof/>
                            </w:rPr>
                            <w:t>2</w:t>
                          </w:r>
                          <w:r w:rsidR="00AE620D">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AE620D" w:rsidP="001E7E0A">
                    <w:pPr>
                      <w:pStyle w:val="Datumsangabe"/>
                    </w:pPr>
                    <w:r>
                      <w:fldChar w:fldCharType="begin"/>
                    </w:r>
                    <w:r>
                      <w:instrText xml:space="preserve"> STYLEREF  Datumsangabe  \* MERGEFORMAT </w:instrText>
                    </w:r>
                    <w:r>
                      <w:fldChar w:fldCharType="separate"/>
                    </w:r>
                    <w:r>
                      <w:rPr>
                        <w:noProof/>
                      </w:rPr>
                      <w:t>17. Dezember 2018</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AE620D">
                      <w:rPr>
                        <w:noProof/>
                      </w:rPr>
                      <w:t>2</w:t>
                    </w:r>
                    <w:r>
                      <w:fldChar w:fldCharType="end"/>
                    </w:r>
                    <w:r>
                      <w:t>/</w:t>
                    </w:r>
                    <w:r w:rsidR="00AE620D">
                      <w:fldChar w:fldCharType="begin"/>
                    </w:r>
                    <w:r w:rsidR="00AE620D">
                      <w:instrText xml:space="preserve"> NUMPAGES   \* MERGEFORMAT </w:instrText>
                    </w:r>
                    <w:r w:rsidR="00AE620D">
                      <w:fldChar w:fldCharType="separate"/>
                    </w:r>
                    <w:r w:rsidR="00AE620D">
                      <w:rPr>
                        <w:noProof/>
                      </w:rPr>
                      <w:t>2</w:t>
                    </w:r>
                    <w:r w:rsidR="00AE620D">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02273B" w:rsidP="00F74CC3">
    <w:pPr>
      <w:pStyle w:val="Kopfzeile"/>
      <w:tabs>
        <w:tab w:val="clear" w:pos="4536"/>
        <w:tab w:val="clear" w:pos="9072"/>
        <w:tab w:val="left" w:pos="1152"/>
      </w:tabs>
      <w:rPr>
        <w:noProof/>
        <w:lang w:eastAsia="de-DE"/>
      </w:rPr>
    </w:pPr>
    <w:r>
      <w:rPr>
        <w:noProof/>
        <w:lang w:eastAsia="de-DE"/>
      </w:rPr>
      <w:drawing>
        <wp:anchor distT="0" distB="0" distL="114300" distR="114300" simplePos="0" relativeHeight="251680768" behindDoc="1" locked="0" layoutInCell="1" allowOverlap="1" wp14:anchorId="3AB399C1" wp14:editId="171E56C2">
          <wp:simplePos x="0" y="0"/>
          <wp:positionH relativeFrom="column">
            <wp:posOffset>2540</wp:posOffset>
          </wp:positionH>
          <wp:positionV relativeFrom="paragraph">
            <wp:posOffset>37465</wp:posOffset>
          </wp:positionV>
          <wp:extent cx="1048385" cy="908685"/>
          <wp:effectExtent l="0" t="0" r="0" b="571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908685"/>
                  </a:xfrm>
                  <a:prstGeom prst="rect">
                    <a:avLst/>
                  </a:prstGeom>
                  <a:noFill/>
                </pic:spPr>
              </pic:pic>
            </a:graphicData>
          </a:graphic>
          <wp14:sizeRelH relativeFrom="page">
            <wp14:pctWidth>0</wp14:pctWidth>
          </wp14:sizeRelH>
          <wp14:sizeRelV relativeFrom="page">
            <wp14:pctHeight>0</wp14:pctHeight>
          </wp14:sizeRelV>
        </wp:anchor>
      </w:drawing>
    </w:r>
    <w:r w:rsidR="00CA4CEB">
      <w:rPr>
        <w:noProof/>
        <w:lang w:eastAsia="de-DE"/>
      </w:rPr>
      <w:drawing>
        <wp:anchor distT="0" distB="0" distL="114300" distR="114300" simplePos="0" relativeHeight="251673600" behindDoc="1" locked="0" layoutInCell="1" allowOverlap="1" wp14:anchorId="01F31B8F" wp14:editId="6674F093">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2">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855504" w:rsidRPr="00855504">
      <w:rPr>
        <w:noProof/>
        <w:lang w:eastAsia="de-DE"/>
      </w:rPr>
      <w:t xml:space="preserve"> </w:t>
    </w:r>
    <w:r w:rsidR="00F74CC3">
      <w:rPr>
        <w:noProof/>
        <w:lang w:eastAsia="de-DE"/>
      </w:rPr>
      <w:tab/>
    </w:r>
  </w:p>
  <w:p w:rsidR="0002273B" w:rsidRDefault="0002273B" w:rsidP="0002273B">
    <w:pPr>
      <w:pStyle w:val="Kopfzeile"/>
      <w:spacing w:before="480"/>
    </w:pPr>
    <w:r>
      <w:t>Pressemitteilung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Bullet_blau_RGB_klein"/>
      </v:shape>
    </w:pict>
  </w:numPicBullet>
  <w:numPicBullet w:numPicBulletId="1">
    <w:pict>
      <v:shape id="_x0000_i1027" type="#_x0000_t75" style="width:3.6pt;height:3.6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9552CE3"/>
    <w:multiLevelType w:val="hybridMultilevel"/>
    <w:tmpl w:val="7A78B7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4"/>
  </w:num>
  <w:num w:numId="12">
    <w:abstractNumId w:val="14"/>
  </w:num>
  <w:num w:numId="13">
    <w:abstractNumId w:val="14"/>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36"/>
    <w:rsid w:val="00000224"/>
    <w:rsid w:val="000117CB"/>
    <w:rsid w:val="00013973"/>
    <w:rsid w:val="00021A3E"/>
    <w:rsid w:val="0002273B"/>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306E1"/>
    <w:rsid w:val="001364F9"/>
    <w:rsid w:val="001451D3"/>
    <w:rsid w:val="00183E8C"/>
    <w:rsid w:val="001861FA"/>
    <w:rsid w:val="001A259A"/>
    <w:rsid w:val="001A6CD7"/>
    <w:rsid w:val="001B118B"/>
    <w:rsid w:val="001B5D61"/>
    <w:rsid w:val="001C001F"/>
    <w:rsid w:val="001C031C"/>
    <w:rsid w:val="001C5486"/>
    <w:rsid w:val="001E7E0A"/>
    <w:rsid w:val="0022554F"/>
    <w:rsid w:val="002340B6"/>
    <w:rsid w:val="00243C72"/>
    <w:rsid w:val="0024653B"/>
    <w:rsid w:val="00265BD0"/>
    <w:rsid w:val="002C62A1"/>
    <w:rsid w:val="002D1B27"/>
    <w:rsid w:val="002E2CC9"/>
    <w:rsid w:val="002F56D0"/>
    <w:rsid w:val="00304A38"/>
    <w:rsid w:val="00311793"/>
    <w:rsid w:val="00323E6F"/>
    <w:rsid w:val="003312D4"/>
    <w:rsid w:val="003412BB"/>
    <w:rsid w:val="003440A4"/>
    <w:rsid w:val="00347759"/>
    <w:rsid w:val="003611C0"/>
    <w:rsid w:val="00372E6F"/>
    <w:rsid w:val="00374CE1"/>
    <w:rsid w:val="003857D6"/>
    <w:rsid w:val="00386EDA"/>
    <w:rsid w:val="00387833"/>
    <w:rsid w:val="00394191"/>
    <w:rsid w:val="003A2163"/>
    <w:rsid w:val="003B1E7E"/>
    <w:rsid w:val="003C3F58"/>
    <w:rsid w:val="003E79E6"/>
    <w:rsid w:val="00402E5D"/>
    <w:rsid w:val="00424DC1"/>
    <w:rsid w:val="004454A2"/>
    <w:rsid w:val="00457F9F"/>
    <w:rsid w:val="00466E32"/>
    <w:rsid w:val="00467F61"/>
    <w:rsid w:val="00477103"/>
    <w:rsid w:val="00485FCD"/>
    <w:rsid w:val="00490007"/>
    <w:rsid w:val="004C1133"/>
    <w:rsid w:val="004C43B9"/>
    <w:rsid w:val="004D1918"/>
    <w:rsid w:val="004D4520"/>
    <w:rsid w:val="004E0336"/>
    <w:rsid w:val="004E1549"/>
    <w:rsid w:val="004F3F4D"/>
    <w:rsid w:val="004F603C"/>
    <w:rsid w:val="005028EC"/>
    <w:rsid w:val="00502CE9"/>
    <w:rsid w:val="0050798B"/>
    <w:rsid w:val="00515661"/>
    <w:rsid w:val="005159E6"/>
    <w:rsid w:val="0052707C"/>
    <w:rsid w:val="005356B9"/>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B5ABA"/>
    <w:rsid w:val="005E7FCB"/>
    <w:rsid w:val="005F7605"/>
    <w:rsid w:val="00606EE4"/>
    <w:rsid w:val="00614B87"/>
    <w:rsid w:val="006366E0"/>
    <w:rsid w:val="006870AC"/>
    <w:rsid w:val="00690122"/>
    <w:rsid w:val="006977CF"/>
    <w:rsid w:val="006C4DE2"/>
    <w:rsid w:val="006D2BC1"/>
    <w:rsid w:val="006E5B34"/>
    <w:rsid w:val="006E7BC0"/>
    <w:rsid w:val="007065C5"/>
    <w:rsid w:val="007226A9"/>
    <w:rsid w:val="00741356"/>
    <w:rsid w:val="00743CA5"/>
    <w:rsid w:val="00755DC2"/>
    <w:rsid w:val="00777040"/>
    <w:rsid w:val="00785030"/>
    <w:rsid w:val="007B21C7"/>
    <w:rsid w:val="007B7169"/>
    <w:rsid w:val="007C2073"/>
    <w:rsid w:val="007C45CE"/>
    <w:rsid w:val="007C6F64"/>
    <w:rsid w:val="007C7B09"/>
    <w:rsid w:val="007D2DC3"/>
    <w:rsid w:val="007D3550"/>
    <w:rsid w:val="007F374E"/>
    <w:rsid w:val="0083279D"/>
    <w:rsid w:val="00841D01"/>
    <w:rsid w:val="00855504"/>
    <w:rsid w:val="0085632E"/>
    <w:rsid w:val="00874877"/>
    <w:rsid w:val="0087668E"/>
    <w:rsid w:val="008A7BF0"/>
    <w:rsid w:val="008B3481"/>
    <w:rsid w:val="008B6309"/>
    <w:rsid w:val="008C4331"/>
    <w:rsid w:val="008D1C62"/>
    <w:rsid w:val="008D3DFA"/>
    <w:rsid w:val="008D5EEB"/>
    <w:rsid w:val="008F1C7C"/>
    <w:rsid w:val="008F2FF4"/>
    <w:rsid w:val="009110E9"/>
    <w:rsid w:val="00922375"/>
    <w:rsid w:val="0092247E"/>
    <w:rsid w:val="00957075"/>
    <w:rsid w:val="009A2335"/>
    <w:rsid w:val="009B57CB"/>
    <w:rsid w:val="009B6480"/>
    <w:rsid w:val="009B72A2"/>
    <w:rsid w:val="009C0EFE"/>
    <w:rsid w:val="009D2BE0"/>
    <w:rsid w:val="009F576B"/>
    <w:rsid w:val="00A03187"/>
    <w:rsid w:val="00A16F76"/>
    <w:rsid w:val="00A429FE"/>
    <w:rsid w:val="00A51FAE"/>
    <w:rsid w:val="00A54FA1"/>
    <w:rsid w:val="00A67B90"/>
    <w:rsid w:val="00A70C82"/>
    <w:rsid w:val="00A70ED2"/>
    <w:rsid w:val="00AC49B6"/>
    <w:rsid w:val="00AD1CF1"/>
    <w:rsid w:val="00AD28B9"/>
    <w:rsid w:val="00AE0DFC"/>
    <w:rsid w:val="00AE620D"/>
    <w:rsid w:val="00AF4318"/>
    <w:rsid w:val="00AF75F1"/>
    <w:rsid w:val="00B147E8"/>
    <w:rsid w:val="00B21B3C"/>
    <w:rsid w:val="00B56DC4"/>
    <w:rsid w:val="00B579A7"/>
    <w:rsid w:val="00B61DEE"/>
    <w:rsid w:val="00B77C8B"/>
    <w:rsid w:val="00B846E0"/>
    <w:rsid w:val="00B87D83"/>
    <w:rsid w:val="00B9508B"/>
    <w:rsid w:val="00B97794"/>
    <w:rsid w:val="00BC231C"/>
    <w:rsid w:val="00BD3EE5"/>
    <w:rsid w:val="00BD5051"/>
    <w:rsid w:val="00BD6463"/>
    <w:rsid w:val="00BE1CD8"/>
    <w:rsid w:val="00C3733B"/>
    <w:rsid w:val="00C61CF1"/>
    <w:rsid w:val="00C62F60"/>
    <w:rsid w:val="00C73BC2"/>
    <w:rsid w:val="00C73D52"/>
    <w:rsid w:val="00CA344E"/>
    <w:rsid w:val="00CA4CEB"/>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DE2E15"/>
    <w:rsid w:val="00E27D5E"/>
    <w:rsid w:val="00E3039A"/>
    <w:rsid w:val="00E504B2"/>
    <w:rsid w:val="00E67FF9"/>
    <w:rsid w:val="00E72E7F"/>
    <w:rsid w:val="00E73B3F"/>
    <w:rsid w:val="00E756E7"/>
    <w:rsid w:val="00E77D96"/>
    <w:rsid w:val="00E829A1"/>
    <w:rsid w:val="00E874B9"/>
    <w:rsid w:val="00E97A69"/>
    <w:rsid w:val="00ED4EEF"/>
    <w:rsid w:val="00EE05F3"/>
    <w:rsid w:val="00F020CA"/>
    <w:rsid w:val="00F1188E"/>
    <w:rsid w:val="00F11918"/>
    <w:rsid w:val="00F11E19"/>
    <w:rsid w:val="00F13F4B"/>
    <w:rsid w:val="00F22FC8"/>
    <w:rsid w:val="00F246D2"/>
    <w:rsid w:val="00F257A0"/>
    <w:rsid w:val="00F31AA9"/>
    <w:rsid w:val="00F4093A"/>
    <w:rsid w:val="00F41068"/>
    <w:rsid w:val="00F51811"/>
    <w:rsid w:val="00F5603C"/>
    <w:rsid w:val="00F67BFF"/>
    <w:rsid w:val="00F74CC3"/>
    <w:rsid w:val="00F934AC"/>
    <w:rsid w:val="00FA719A"/>
    <w:rsid w:val="00FA79C7"/>
    <w:rsid w:val="00FB20DF"/>
    <w:rsid w:val="00FB2793"/>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styleId="StandardWeb">
    <w:name w:val="Normal (Web)"/>
    <w:basedOn w:val="Standard"/>
    <w:uiPriority w:val="99"/>
    <w:semiHidden/>
    <w:unhideWhenUsed/>
    <w:rsid w:val="00E829A1"/>
    <w:pPr>
      <w:spacing w:before="100" w:beforeAutospacing="1" w:after="100" w:afterAutospacing="1" w:line="240" w:lineRule="auto"/>
    </w:pPr>
    <w:rPr>
      <w:rFonts w:ascii="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59457">
      <w:bodyDiv w:val="1"/>
      <w:marLeft w:val="0"/>
      <w:marRight w:val="0"/>
      <w:marTop w:val="0"/>
      <w:marBottom w:val="0"/>
      <w:divBdr>
        <w:top w:val="none" w:sz="0" w:space="0" w:color="auto"/>
        <w:left w:val="none" w:sz="0" w:space="0" w:color="auto"/>
        <w:bottom w:val="none" w:sz="0" w:space="0" w:color="auto"/>
        <w:right w:val="none" w:sz="0" w:space="0" w:color="auto"/>
      </w:divBdr>
    </w:div>
    <w:div w:id="1056127522">
      <w:bodyDiv w:val="1"/>
      <w:marLeft w:val="0"/>
      <w:marRight w:val="0"/>
      <w:marTop w:val="0"/>
      <w:marBottom w:val="0"/>
      <w:divBdr>
        <w:top w:val="none" w:sz="0" w:space="0" w:color="auto"/>
        <w:left w:val="none" w:sz="0" w:space="0" w:color="auto"/>
        <w:bottom w:val="none" w:sz="0" w:space="0" w:color="auto"/>
        <w:right w:val="none" w:sz="0" w:space="0" w:color="auto"/>
      </w:divBdr>
    </w:div>
    <w:div w:id="1349018858">
      <w:bodyDiv w:val="1"/>
      <w:marLeft w:val="0"/>
      <w:marRight w:val="0"/>
      <w:marTop w:val="0"/>
      <w:marBottom w:val="0"/>
      <w:divBdr>
        <w:top w:val="none" w:sz="0" w:space="0" w:color="auto"/>
        <w:left w:val="none" w:sz="0" w:space="0" w:color="auto"/>
        <w:bottom w:val="none" w:sz="0" w:space="0" w:color="auto"/>
        <w:right w:val="none" w:sz="0" w:space="0" w:color="auto"/>
      </w:divBdr>
    </w:div>
    <w:div w:id="1819420701">
      <w:bodyDiv w:val="1"/>
      <w:marLeft w:val="0"/>
      <w:marRight w:val="0"/>
      <w:marTop w:val="0"/>
      <w:marBottom w:val="0"/>
      <w:divBdr>
        <w:top w:val="none" w:sz="0" w:space="0" w:color="auto"/>
        <w:left w:val="none" w:sz="0" w:space="0" w:color="auto"/>
        <w:bottom w:val="none" w:sz="0" w:space="0" w:color="auto"/>
        <w:right w:val="none" w:sz="0" w:space="0" w:color="auto"/>
      </w:divBdr>
    </w:div>
    <w:div w:id="1972056062">
      <w:bodyDiv w:val="1"/>
      <w:marLeft w:val="0"/>
      <w:marRight w:val="0"/>
      <w:marTop w:val="0"/>
      <w:marBottom w:val="0"/>
      <w:divBdr>
        <w:top w:val="none" w:sz="0" w:space="0" w:color="auto"/>
        <w:left w:val="none" w:sz="0" w:space="0" w:color="auto"/>
        <w:bottom w:val="none" w:sz="0" w:space="0" w:color="auto"/>
        <w:right w:val="none" w:sz="0" w:space="0" w:color="auto"/>
      </w:divBdr>
    </w:div>
    <w:div w:id="211586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gineered.thyssenkrup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thyssenkrupp?lang=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hyssenkrupp.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ess@thyssenkrupp.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70070\Documents\Office-Vorlagen\ThyssenKrupp%20(D)\tk_Pressemitteilung_Standard_Primary_Logo_DE_DIN_A4.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542A0-7204-4177-88BF-13469EB5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tk_Pressemitteilung_Standard_Primary_Logo_DE_DIN_A4.dotx</Template>
  <TotalTime>0</TotalTime>
  <Pages>2</Pages>
  <Words>546</Words>
  <Characters>3447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Niskens, Andrea</dc:creator>
  <cp:lastModifiedBy>Brand, Dagmar</cp:lastModifiedBy>
  <cp:revision>3</cp:revision>
  <cp:lastPrinted>2015-11-13T13:57:00Z</cp:lastPrinted>
  <dcterms:created xsi:type="dcterms:W3CDTF">2018-12-17T11:10:00Z</dcterms:created>
  <dcterms:modified xsi:type="dcterms:W3CDTF">2018-12-17T11:10:00Z</dcterms:modified>
</cp:coreProperties>
</file>