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9A1FF7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9A1FF7">
            <w:pPr>
              <w:pStyle w:val="BusinessArea"/>
              <w:jc w:val="both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9A1FF7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9A1FF7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9A1FF7">
            <w:pPr>
              <w:pStyle w:val="Absenderadresse1"/>
              <w:jc w:val="both"/>
            </w:pPr>
          </w:p>
        </w:tc>
        <w:tc>
          <w:tcPr>
            <w:tcW w:w="1724" w:type="dxa"/>
          </w:tcPr>
          <w:p w:rsidR="001E7E0A" w:rsidRDefault="00BD7078" w:rsidP="009A1FF7">
            <w:pPr>
              <w:pStyle w:val="Datumsangabe"/>
              <w:jc w:val="both"/>
            </w:pPr>
            <w:r>
              <w:t>14</w:t>
            </w:r>
            <w:r w:rsidR="002054F6">
              <w:t>.0</w:t>
            </w:r>
            <w:r w:rsidR="00F44257">
              <w:t>9</w:t>
            </w:r>
            <w:r w:rsidR="00297DC4">
              <w:t>.</w:t>
            </w:r>
            <w:r w:rsidR="002054F6">
              <w:t>2018</w:t>
            </w:r>
          </w:p>
          <w:p w:rsidR="001E7E0A" w:rsidRPr="0087668E" w:rsidRDefault="001E7E0A" w:rsidP="009A1FF7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057E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BD7078" w:rsidRPr="009A1FF7" w:rsidRDefault="00BD7078" w:rsidP="00BD7078">
      <w:pPr>
        <w:ind w:right="1134"/>
        <w:jc w:val="both"/>
        <w:rPr>
          <w:szCs w:val="20"/>
        </w:rPr>
      </w:pPr>
      <w:r>
        <w:rPr>
          <w:rFonts w:cs="Arial"/>
          <w:b/>
        </w:rPr>
        <w:t>Sonntagsarbeite</w:t>
      </w:r>
      <w:r w:rsidR="0088114A">
        <w:rPr>
          <w:rFonts w:cs="Arial"/>
          <w:b/>
        </w:rPr>
        <w:t>n an Koksgasleitung in Ruhrort</w:t>
      </w:r>
      <w:bookmarkStart w:id="0" w:name="_GoBack"/>
      <w:bookmarkEnd w:id="0"/>
    </w:p>
    <w:p w:rsidR="009660D1" w:rsidRDefault="009660D1" w:rsidP="008E3386">
      <w:pPr>
        <w:ind w:right="1151"/>
        <w:jc w:val="both"/>
        <w:rPr>
          <w:szCs w:val="20"/>
        </w:rPr>
      </w:pPr>
    </w:p>
    <w:p w:rsidR="00BD7078" w:rsidRPr="000B3049" w:rsidRDefault="00BD7078" w:rsidP="008E3386">
      <w:pPr>
        <w:ind w:right="1151"/>
        <w:jc w:val="both"/>
        <w:rPr>
          <w:rFonts w:cs="Calibri"/>
          <w:szCs w:val="20"/>
        </w:rPr>
      </w:pPr>
      <w:proofErr w:type="spellStart"/>
      <w:r w:rsidRPr="000B3049">
        <w:rPr>
          <w:szCs w:val="20"/>
        </w:rPr>
        <w:t>thyssenkrupp</w:t>
      </w:r>
      <w:proofErr w:type="spellEnd"/>
      <w:r w:rsidRPr="000B3049">
        <w:rPr>
          <w:szCs w:val="20"/>
        </w:rPr>
        <w:t xml:space="preserve"> Steel erneuert gegenwärtig </w:t>
      </w:r>
      <w:r w:rsidR="000B3049" w:rsidRPr="000B3049">
        <w:rPr>
          <w:szCs w:val="20"/>
        </w:rPr>
        <w:t xml:space="preserve">eine Koksgasleitung </w:t>
      </w:r>
      <w:r w:rsidRPr="000B3049">
        <w:rPr>
          <w:szCs w:val="20"/>
        </w:rPr>
        <w:t>i</w:t>
      </w:r>
      <w:r w:rsidR="000B3049" w:rsidRPr="000B3049">
        <w:rPr>
          <w:szCs w:val="20"/>
        </w:rPr>
        <w:t xml:space="preserve">m Stadtteil </w:t>
      </w:r>
      <w:r w:rsidRPr="000B3049">
        <w:rPr>
          <w:szCs w:val="20"/>
        </w:rPr>
        <w:t xml:space="preserve">Ruhrort zwischen der Universität Duisburg und dem Kraftwerk Ruhrort. Aufgrund </w:t>
      </w:r>
      <w:r w:rsidR="000B3049" w:rsidRPr="000B3049">
        <w:rPr>
          <w:szCs w:val="20"/>
        </w:rPr>
        <w:t>von</w:t>
      </w:r>
      <w:r w:rsidRPr="000B3049">
        <w:rPr>
          <w:szCs w:val="20"/>
        </w:rPr>
        <w:t xml:space="preserve"> Verzögerungen im Bauablauf wer</w:t>
      </w:r>
      <w:r w:rsidR="000C4060" w:rsidRPr="000B3049">
        <w:rPr>
          <w:szCs w:val="20"/>
        </w:rPr>
        <w:t xml:space="preserve">den an zwei Sonntagen, am </w:t>
      </w:r>
      <w:r w:rsidR="000C4060" w:rsidRPr="000B3049">
        <w:rPr>
          <w:rFonts w:cs="Calibri"/>
          <w:szCs w:val="20"/>
        </w:rPr>
        <w:t>16.</w:t>
      </w:r>
      <w:r w:rsidR="000B3049" w:rsidRPr="000B3049">
        <w:rPr>
          <w:rFonts w:cs="Calibri"/>
          <w:szCs w:val="20"/>
        </w:rPr>
        <w:t xml:space="preserve"> September</w:t>
      </w:r>
      <w:r w:rsidR="000C4060" w:rsidRPr="000B3049">
        <w:rPr>
          <w:rFonts w:cs="Calibri"/>
          <w:szCs w:val="20"/>
        </w:rPr>
        <w:t xml:space="preserve"> und am 23.</w:t>
      </w:r>
      <w:r w:rsidR="000B3049" w:rsidRPr="000B3049">
        <w:rPr>
          <w:rFonts w:cs="Calibri"/>
          <w:szCs w:val="20"/>
        </w:rPr>
        <w:t xml:space="preserve"> September</w:t>
      </w:r>
      <w:r w:rsidR="000B3049">
        <w:rPr>
          <w:rFonts w:cs="Calibri"/>
          <w:szCs w:val="20"/>
        </w:rPr>
        <w:t xml:space="preserve"> 2018</w:t>
      </w:r>
      <w:r w:rsidR="000C4060" w:rsidRPr="000B3049">
        <w:rPr>
          <w:rFonts w:cs="Calibri"/>
          <w:szCs w:val="20"/>
        </w:rPr>
        <w:t xml:space="preserve"> De- und Montagearbeiten durchgeführt. Mögliche Lärmbeeinträchtigungen </w:t>
      </w:r>
      <w:r w:rsidR="000B3049">
        <w:rPr>
          <w:rFonts w:cs="Calibri"/>
          <w:szCs w:val="20"/>
        </w:rPr>
        <w:t>werden</w:t>
      </w:r>
      <w:r w:rsidR="000C4060" w:rsidRPr="000B3049">
        <w:rPr>
          <w:rFonts w:cs="Calibri"/>
          <w:szCs w:val="20"/>
        </w:rPr>
        <w:t xml:space="preserve"> dabei auf ein Minimum reduziert. </w:t>
      </w:r>
    </w:p>
    <w:p w:rsidR="007A618F" w:rsidRPr="000B3049" w:rsidRDefault="007A618F" w:rsidP="009A1FF7">
      <w:pPr>
        <w:ind w:right="1134"/>
        <w:jc w:val="both"/>
        <w:rPr>
          <w:szCs w:val="20"/>
        </w:rPr>
      </w:pPr>
    </w:p>
    <w:p w:rsidR="000B3049" w:rsidRPr="0088114A" w:rsidRDefault="000B3049" w:rsidP="000B3049">
      <w:pPr>
        <w:rPr>
          <w:szCs w:val="20"/>
        </w:rPr>
      </w:pPr>
      <w:r w:rsidRPr="0088114A">
        <w:rPr>
          <w:szCs w:val="20"/>
        </w:rPr>
        <w:t>Kontakt:</w:t>
      </w:r>
    </w:p>
    <w:p w:rsidR="000B3049" w:rsidRPr="0088114A" w:rsidRDefault="000B3049" w:rsidP="000B3049">
      <w:pPr>
        <w:rPr>
          <w:szCs w:val="20"/>
        </w:rPr>
      </w:pPr>
      <w:r w:rsidRPr="0088114A">
        <w:rPr>
          <w:szCs w:val="20"/>
        </w:rPr>
        <w:t xml:space="preserve">Per Mail unter </w:t>
      </w:r>
      <w:hyperlink r:id="rId8" w:history="1">
        <w:r w:rsidRPr="0088114A">
          <w:rPr>
            <w:szCs w:val="20"/>
          </w:rPr>
          <w:t>rohrleitungsinstandsetzung.steel@thyssenkrupp.com</w:t>
        </w:r>
      </w:hyperlink>
    </w:p>
    <w:p w:rsidR="000B3049" w:rsidRPr="000B3049" w:rsidRDefault="000B3049" w:rsidP="000B3049">
      <w:pPr>
        <w:rPr>
          <w:szCs w:val="20"/>
        </w:rPr>
      </w:pPr>
      <w:r w:rsidRPr="000B3049">
        <w:rPr>
          <w:szCs w:val="20"/>
        </w:rPr>
        <w:t>Für Rückfragen während der Bauarbeiten:</w:t>
      </w:r>
    </w:p>
    <w:p w:rsidR="000B3049" w:rsidRPr="000B3049" w:rsidRDefault="000B3049" w:rsidP="000B3049">
      <w:pPr>
        <w:rPr>
          <w:szCs w:val="20"/>
        </w:rPr>
      </w:pPr>
      <w:r w:rsidRPr="000B3049">
        <w:rPr>
          <w:szCs w:val="20"/>
        </w:rPr>
        <w:t>Handy-Nummer der Baustelle: 0162 / 19 86 014</w:t>
      </w:r>
    </w:p>
    <w:p w:rsidR="000C4060" w:rsidRPr="000B3049" w:rsidRDefault="000B3049" w:rsidP="000B3049">
      <w:pPr>
        <w:rPr>
          <w:szCs w:val="20"/>
        </w:rPr>
      </w:pPr>
      <w:r w:rsidRPr="000B3049">
        <w:rPr>
          <w:szCs w:val="20"/>
        </w:rPr>
        <w:t>Für Notfälle:</w:t>
      </w:r>
      <w:r>
        <w:rPr>
          <w:szCs w:val="20"/>
        </w:rPr>
        <w:t xml:space="preserve"> </w:t>
      </w:r>
      <w:r w:rsidRPr="000B3049">
        <w:rPr>
          <w:szCs w:val="20"/>
        </w:rPr>
        <w:t xml:space="preserve">Sicherheitszentrale Werkfeuerwehr </w:t>
      </w:r>
      <w:proofErr w:type="spellStart"/>
      <w:r w:rsidRPr="000B3049">
        <w:rPr>
          <w:szCs w:val="20"/>
        </w:rPr>
        <w:t>thyssenkrupp</w:t>
      </w:r>
      <w:proofErr w:type="spellEnd"/>
      <w:r w:rsidRPr="000B3049">
        <w:rPr>
          <w:szCs w:val="20"/>
        </w:rPr>
        <w:t xml:space="preserve"> Steel Europe: 0203 / 52-41212</w:t>
      </w:r>
    </w:p>
    <w:p w:rsidR="000C4060" w:rsidRDefault="000C4060" w:rsidP="009A1FF7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9A1FF7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9A1FF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821191" w:rsidRDefault="00821191" w:rsidP="009A1FF7">
      <w:pPr>
        <w:spacing w:line="288" w:lineRule="auto"/>
        <w:jc w:val="both"/>
        <w:rPr>
          <w:szCs w:val="20"/>
        </w:rPr>
      </w:pPr>
      <w:r>
        <w:rPr>
          <w:szCs w:val="20"/>
        </w:rPr>
        <w:t>Mark Stagge</w:t>
      </w:r>
    </w:p>
    <w:p w:rsidR="00DE2408" w:rsidRPr="002A0F45" w:rsidRDefault="00821191" w:rsidP="009A1FF7">
      <w:pPr>
        <w:spacing w:line="288" w:lineRule="auto"/>
        <w:jc w:val="both"/>
        <w:rPr>
          <w:szCs w:val="20"/>
          <w:lang w:val="en-US"/>
        </w:rPr>
      </w:pPr>
      <w:r w:rsidRPr="002A0F45">
        <w:rPr>
          <w:szCs w:val="20"/>
          <w:lang w:val="en-US"/>
        </w:rPr>
        <w:t xml:space="preserve">Head of </w:t>
      </w:r>
      <w:r w:rsidR="00DE2408" w:rsidRPr="002A0F45">
        <w:rPr>
          <w:szCs w:val="20"/>
          <w:lang w:val="en-US"/>
        </w:rPr>
        <w:t>External Communication</w:t>
      </w:r>
      <w:r w:rsidR="003F1CCB" w:rsidRPr="002A0F45">
        <w:rPr>
          <w:szCs w:val="20"/>
          <w:lang w:val="en-US"/>
        </w:rPr>
        <w:t>s</w:t>
      </w:r>
    </w:p>
    <w:p w:rsidR="00EE4A53" w:rsidRPr="002A0F45" w:rsidRDefault="00EE4A53" w:rsidP="009A1FF7">
      <w:pPr>
        <w:spacing w:line="288" w:lineRule="auto"/>
        <w:jc w:val="both"/>
        <w:rPr>
          <w:szCs w:val="20"/>
          <w:lang w:val="en-US"/>
        </w:rPr>
      </w:pPr>
      <w:r w:rsidRPr="002A0F45">
        <w:rPr>
          <w:szCs w:val="20"/>
          <w:lang w:val="en-US"/>
        </w:rPr>
        <w:t>T: +49 203 52</w:t>
      </w:r>
      <w:r w:rsidRPr="002A0F45">
        <w:rPr>
          <w:rFonts w:ascii="Arial" w:hAnsi="Arial" w:cs="Arial"/>
          <w:szCs w:val="20"/>
          <w:lang w:val="en-US"/>
        </w:rPr>
        <w:t> </w:t>
      </w:r>
      <w:r w:rsidRPr="002A0F45">
        <w:rPr>
          <w:szCs w:val="20"/>
          <w:lang w:val="en-US"/>
        </w:rPr>
        <w:t>-</w:t>
      </w:r>
      <w:r w:rsidRPr="002A0F45">
        <w:rPr>
          <w:rFonts w:ascii="Arial" w:hAnsi="Arial" w:cs="Arial"/>
          <w:szCs w:val="20"/>
          <w:lang w:val="en-US"/>
        </w:rPr>
        <w:t> </w:t>
      </w:r>
      <w:r w:rsidR="00DE2408" w:rsidRPr="002A0F45">
        <w:rPr>
          <w:szCs w:val="20"/>
          <w:lang w:val="en-US"/>
        </w:rPr>
        <w:t>2</w:t>
      </w:r>
      <w:r w:rsidR="00821191" w:rsidRPr="002A0F45">
        <w:rPr>
          <w:szCs w:val="20"/>
          <w:lang w:val="en-US"/>
        </w:rPr>
        <w:t>5159</w:t>
      </w:r>
      <w:r w:rsidR="00DE2408" w:rsidRPr="002A0F45">
        <w:rPr>
          <w:szCs w:val="20"/>
          <w:lang w:val="en-US"/>
        </w:rPr>
        <w:t xml:space="preserve"> </w:t>
      </w:r>
    </w:p>
    <w:p w:rsidR="00EE4A53" w:rsidRPr="00821191" w:rsidRDefault="002057E1" w:rsidP="009A1FF7">
      <w:pPr>
        <w:spacing w:line="288" w:lineRule="auto"/>
        <w:jc w:val="both"/>
        <w:rPr>
          <w:szCs w:val="20"/>
          <w:lang w:val="en-US"/>
        </w:rPr>
      </w:pPr>
      <w:hyperlink r:id="rId9" w:history="1">
        <w:r w:rsidR="00821191" w:rsidRPr="008B0C80">
          <w:rPr>
            <w:rStyle w:val="Hyperlink"/>
            <w:szCs w:val="20"/>
            <w:lang w:val="en-US"/>
          </w:rPr>
          <w:t>mark.stagge@thyssenkrupp.com</w:t>
        </w:r>
      </w:hyperlink>
    </w:p>
    <w:sectPr w:rsidR="00EE4A53" w:rsidRPr="00821191" w:rsidSect="001513D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2834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26" w:rsidRDefault="00495A26" w:rsidP="005B5ABA">
      <w:pPr>
        <w:spacing w:line="240" w:lineRule="auto"/>
      </w:pPr>
      <w:r>
        <w:separator/>
      </w:r>
    </w:p>
  </w:endnote>
  <w:endnote w:type="continuationSeparator" w:id="0">
    <w:p w:rsidR="00495A26" w:rsidRDefault="00495A2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rebuchet MS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</w:t>
                          </w:r>
                          <w:r w:rsidR="00F44257">
                            <w:rPr>
                              <w:rFonts w:asciiTheme="majorHAnsi" w:hAnsiTheme="majorHAnsi"/>
                              <w:szCs w:val="14"/>
                            </w:rPr>
                            <w:t xml:space="preserve"> Guido </w:t>
                          </w:r>
                          <w:proofErr w:type="spellStart"/>
                          <w:r w:rsidR="00F4425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</w:t>
                    </w:r>
                    <w:r w:rsidR="00F44257">
                      <w:rPr>
                        <w:rFonts w:asciiTheme="majorHAnsi" w:hAnsiTheme="majorHAnsi"/>
                        <w:szCs w:val="14"/>
                      </w:rPr>
                      <w:t xml:space="preserve"> Guido </w:t>
                    </w:r>
                    <w:proofErr w:type="spellStart"/>
                    <w:r w:rsidR="00F4425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F44257">
                            <w:rPr>
                              <w:rFonts w:asciiTheme="majorHAnsi" w:hAnsiTheme="majorHAnsi"/>
                              <w:szCs w:val="14"/>
                            </w:rPr>
                            <w:t xml:space="preserve">Guido </w:t>
                          </w:r>
                          <w:proofErr w:type="spellStart"/>
                          <w:r w:rsidR="00F4425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F44257">
                      <w:rPr>
                        <w:rFonts w:asciiTheme="majorHAnsi" w:hAnsiTheme="majorHAnsi"/>
                        <w:szCs w:val="14"/>
                      </w:rPr>
                      <w:t xml:space="preserve">Guido </w:t>
                    </w:r>
                    <w:proofErr w:type="spellStart"/>
                    <w:r w:rsidR="00F4425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26" w:rsidRDefault="00495A26" w:rsidP="005B5ABA">
      <w:pPr>
        <w:spacing w:line="240" w:lineRule="auto"/>
      </w:pPr>
      <w:r>
        <w:separator/>
      </w:r>
    </w:p>
  </w:footnote>
  <w:footnote w:type="continuationSeparator" w:id="0">
    <w:p w:rsidR="00495A26" w:rsidRDefault="00495A2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5539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057E1">
                            <w:rPr>
                              <w:noProof/>
                            </w:rPr>
                            <w:t>14.09.2018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70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057E1">
                            <w:fldChar w:fldCharType="begin"/>
                          </w:r>
                          <w:r w:rsidR="002057E1">
                            <w:instrText xml:space="preserve"> NUMPAGES   \* MERGEFORMAT </w:instrText>
                          </w:r>
                          <w:r w:rsidR="002057E1">
                            <w:fldChar w:fldCharType="separate"/>
                          </w:r>
                          <w:r w:rsidR="002057E1">
                            <w:rPr>
                              <w:noProof/>
                            </w:rPr>
                            <w:t>1</w:t>
                          </w:r>
                          <w:r w:rsidR="002057E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5539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057E1">
                      <w:rPr>
                        <w:noProof/>
                      </w:rPr>
                      <w:t>14.09.2018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70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2057E1">
                      <w:fldChar w:fldCharType="begin"/>
                    </w:r>
                    <w:r w:rsidR="002057E1">
                      <w:instrText xml:space="preserve"> NUMPAGES   \* MERGEFORMAT </w:instrText>
                    </w:r>
                    <w:r w:rsidR="002057E1">
                      <w:fldChar w:fldCharType="separate"/>
                    </w:r>
                    <w:r w:rsidR="002057E1">
                      <w:rPr>
                        <w:noProof/>
                      </w:rPr>
                      <w:t>1</w:t>
                    </w:r>
                    <w:r w:rsidR="002057E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.5pt;height:4.5pt" o:bullet="t">
        <v:imagedata r:id="rId1" o:title="Bullet_blau_RGB_klein"/>
      </v:shape>
    </w:pict>
  </w:numPicBullet>
  <w:numPicBullet w:numPicBulletId="1">
    <w:pict>
      <v:shape id="_x0000_i1073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50A75C2"/>
    <w:multiLevelType w:val="hybridMultilevel"/>
    <w:tmpl w:val="B5DAD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2A37"/>
    <w:multiLevelType w:val="hybridMultilevel"/>
    <w:tmpl w:val="EB14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15"/>
  </w:num>
  <w:num w:numId="27">
    <w:abstractNumId w:val="20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4B2B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3049"/>
    <w:rsid w:val="000B6A80"/>
    <w:rsid w:val="000C4060"/>
    <w:rsid w:val="000D312E"/>
    <w:rsid w:val="000D4D6C"/>
    <w:rsid w:val="000E146B"/>
    <w:rsid w:val="000E478B"/>
    <w:rsid w:val="000F62A0"/>
    <w:rsid w:val="00102C50"/>
    <w:rsid w:val="001306E1"/>
    <w:rsid w:val="00133870"/>
    <w:rsid w:val="001364F9"/>
    <w:rsid w:val="00137A1B"/>
    <w:rsid w:val="00142A34"/>
    <w:rsid w:val="0014474F"/>
    <w:rsid w:val="001451D3"/>
    <w:rsid w:val="00146600"/>
    <w:rsid w:val="001474B1"/>
    <w:rsid w:val="001513DD"/>
    <w:rsid w:val="001553C0"/>
    <w:rsid w:val="001624F6"/>
    <w:rsid w:val="00162A87"/>
    <w:rsid w:val="00165354"/>
    <w:rsid w:val="00166977"/>
    <w:rsid w:val="00174160"/>
    <w:rsid w:val="0017592A"/>
    <w:rsid w:val="001769C1"/>
    <w:rsid w:val="00185574"/>
    <w:rsid w:val="001861FA"/>
    <w:rsid w:val="001905BF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3510"/>
    <w:rsid w:val="001D65E1"/>
    <w:rsid w:val="001E125C"/>
    <w:rsid w:val="001E36C6"/>
    <w:rsid w:val="001E7E0A"/>
    <w:rsid w:val="001F2570"/>
    <w:rsid w:val="002030D0"/>
    <w:rsid w:val="002054F6"/>
    <w:rsid w:val="002057E1"/>
    <w:rsid w:val="0020624E"/>
    <w:rsid w:val="00213738"/>
    <w:rsid w:val="00214D05"/>
    <w:rsid w:val="00215965"/>
    <w:rsid w:val="002164F8"/>
    <w:rsid w:val="0022554F"/>
    <w:rsid w:val="00243C72"/>
    <w:rsid w:val="0024653B"/>
    <w:rsid w:val="00252404"/>
    <w:rsid w:val="00255393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0F45"/>
    <w:rsid w:val="002A3A5A"/>
    <w:rsid w:val="002A46D3"/>
    <w:rsid w:val="002B1779"/>
    <w:rsid w:val="002B7530"/>
    <w:rsid w:val="002C0A5C"/>
    <w:rsid w:val="002C62A1"/>
    <w:rsid w:val="002D1B27"/>
    <w:rsid w:val="002E2CC9"/>
    <w:rsid w:val="002E3C86"/>
    <w:rsid w:val="002E491B"/>
    <w:rsid w:val="002F52AB"/>
    <w:rsid w:val="00304A38"/>
    <w:rsid w:val="00311793"/>
    <w:rsid w:val="00315E81"/>
    <w:rsid w:val="003176DB"/>
    <w:rsid w:val="00323E6F"/>
    <w:rsid w:val="00327CA2"/>
    <w:rsid w:val="00330565"/>
    <w:rsid w:val="00330DDF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3C77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5A26"/>
    <w:rsid w:val="0049723B"/>
    <w:rsid w:val="004A7237"/>
    <w:rsid w:val="004B4F01"/>
    <w:rsid w:val="004C1133"/>
    <w:rsid w:val="004C1E18"/>
    <w:rsid w:val="004C3FF9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6ECD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183"/>
    <w:rsid w:val="005B5ABA"/>
    <w:rsid w:val="005B7322"/>
    <w:rsid w:val="005C5006"/>
    <w:rsid w:val="005C6FEF"/>
    <w:rsid w:val="005D60CE"/>
    <w:rsid w:val="005E37C2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119"/>
    <w:rsid w:val="00632A81"/>
    <w:rsid w:val="0063584E"/>
    <w:rsid w:val="006366E0"/>
    <w:rsid w:val="006550EA"/>
    <w:rsid w:val="00660C5E"/>
    <w:rsid w:val="00681BAF"/>
    <w:rsid w:val="006870AC"/>
    <w:rsid w:val="00690122"/>
    <w:rsid w:val="00692D5F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618F"/>
    <w:rsid w:val="007B21C7"/>
    <w:rsid w:val="007B22E5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5378"/>
    <w:rsid w:val="00817BA6"/>
    <w:rsid w:val="00821191"/>
    <w:rsid w:val="008229FE"/>
    <w:rsid w:val="0082487B"/>
    <w:rsid w:val="0083279D"/>
    <w:rsid w:val="00841D01"/>
    <w:rsid w:val="00855504"/>
    <w:rsid w:val="008557F5"/>
    <w:rsid w:val="0085632E"/>
    <w:rsid w:val="00862A37"/>
    <w:rsid w:val="0086342B"/>
    <w:rsid w:val="0086617F"/>
    <w:rsid w:val="00874877"/>
    <w:rsid w:val="0087668E"/>
    <w:rsid w:val="0088114A"/>
    <w:rsid w:val="008948E6"/>
    <w:rsid w:val="008A5501"/>
    <w:rsid w:val="008A7BF0"/>
    <w:rsid w:val="008B106A"/>
    <w:rsid w:val="008B3481"/>
    <w:rsid w:val="008B6309"/>
    <w:rsid w:val="008C4331"/>
    <w:rsid w:val="008C64FF"/>
    <w:rsid w:val="008D03CC"/>
    <w:rsid w:val="008D1C62"/>
    <w:rsid w:val="008D3DFA"/>
    <w:rsid w:val="008E3386"/>
    <w:rsid w:val="008E6AF9"/>
    <w:rsid w:val="008E7176"/>
    <w:rsid w:val="008F1C7C"/>
    <w:rsid w:val="008F2FF4"/>
    <w:rsid w:val="00905E94"/>
    <w:rsid w:val="00910125"/>
    <w:rsid w:val="009110E9"/>
    <w:rsid w:val="00917B9E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65B28"/>
    <w:rsid w:val="009660D1"/>
    <w:rsid w:val="009772C9"/>
    <w:rsid w:val="0098312D"/>
    <w:rsid w:val="00986AB1"/>
    <w:rsid w:val="0099520D"/>
    <w:rsid w:val="009A1FF7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3321D"/>
    <w:rsid w:val="00A372DA"/>
    <w:rsid w:val="00A40243"/>
    <w:rsid w:val="00A429FE"/>
    <w:rsid w:val="00A45874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58A0"/>
    <w:rsid w:val="00AB24AF"/>
    <w:rsid w:val="00AB5E1A"/>
    <w:rsid w:val="00AB5E22"/>
    <w:rsid w:val="00AC17E5"/>
    <w:rsid w:val="00AC49B6"/>
    <w:rsid w:val="00AD1CF1"/>
    <w:rsid w:val="00AD28B9"/>
    <w:rsid w:val="00AD41D2"/>
    <w:rsid w:val="00AD5533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52AA"/>
    <w:rsid w:val="00B304A9"/>
    <w:rsid w:val="00B5284B"/>
    <w:rsid w:val="00B536F1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538"/>
    <w:rsid w:val="00B87D83"/>
    <w:rsid w:val="00B9508B"/>
    <w:rsid w:val="00B97794"/>
    <w:rsid w:val="00B97E56"/>
    <w:rsid w:val="00BB0E3E"/>
    <w:rsid w:val="00BC231C"/>
    <w:rsid w:val="00BC760A"/>
    <w:rsid w:val="00BD0883"/>
    <w:rsid w:val="00BD3EE5"/>
    <w:rsid w:val="00BD4078"/>
    <w:rsid w:val="00BD5051"/>
    <w:rsid w:val="00BD7078"/>
    <w:rsid w:val="00C01794"/>
    <w:rsid w:val="00C07A8B"/>
    <w:rsid w:val="00C124EF"/>
    <w:rsid w:val="00C30C7B"/>
    <w:rsid w:val="00C3733B"/>
    <w:rsid w:val="00C444D8"/>
    <w:rsid w:val="00C47102"/>
    <w:rsid w:val="00C50779"/>
    <w:rsid w:val="00C568E1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4653"/>
    <w:rsid w:val="00D42B7D"/>
    <w:rsid w:val="00D430F9"/>
    <w:rsid w:val="00D503B9"/>
    <w:rsid w:val="00D50499"/>
    <w:rsid w:val="00D53B82"/>
    <w:rsid w:val="00D53D10"/>
    <w:rsid w:val="00D55104"/>
    <w:rsid w:val="00D610A9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5D0"/>
    <w:rsid w:val="00E00269"/>
    <w:rsid w:val="00E03946"/>
    <w:rsid w:val="00E051BE"/>
    <w:rsid w:val="00E12A25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A0B"/>
    <w:rsid w:val="00E57B22"/>
    <w:rsid w:val="00E6687B"/>
    <w:rsid w:val="00E67FF9"/>
    <w:rsid w:val="00E71B55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34CD"/>
    <w:rsid w:val="00ED22CB"/>
    <w:rsid w:val="00ED4EEF"/>
    <w:rsid w:val="00EE05F3"/>
    <w:rsid w:val="00EE4A53"/>
    <w:rsid w:val="00EE5B7D"/>
    <w:rsid w:val="00EF3EA0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4257"/>
    <w:rsid w:val="00F44488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0F11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F8569"/>
  <w15:docId w15:val="{CF3C73DB-AD6B-4C8F-BD99-34BA37F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2">
    <w:name w:val="s2"/>
    <w:basedOn w:val="Absatz-Standardschriftart"/>
    <w:rsid w:val="00B5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rleitungsinstandsetzung.steel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.stagge@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AB95-5256-4FF5-B499-E999AE6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Mark Stagge</cp:lastModifiedBy>
  <cp:revision>3</cp:revision>
  <cp:lastPrinted>2018-09-14T14:20:00Z</cp:lastPrinted>
  <dcterms:created xsi:type="dcterms:W3CDTF">2018-09-14T14:20:00Z</dcterms:created>
  <dcterms:modified xsi:type="dcterms:W3CDTF">2018-09-14T14:21:00Z</dcterms:modified>
</cp:coreProperties>
</file>