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E04E80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E04E80">
            <w:pPr>
              <w:pStyle w:val="BusinessArea"/>
              <w:jc w:val="both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E04E80">
            <w:pPr>
              <w:jc w:val="both"/>
            </w:pPr>
          </w:p>
        </w:tc>
        <w:tc>
          <w:tcPr>
            <w:tcW w:w="1724" w:type="dxa"/>
          </w:tcPr>
          <w:p w:rsidR="001E7E0A" w:rsidRDefault="001E7E0A" w:rsidP="00E04E80">
            <w:pPr>
              <w:pStyle w:val="BusinessArea"/>
              <w:jc w:val="both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E04E80">
            <w:pPr>
              <w:pStyle w:val="Absenderadresse"/>
              <w:jc w:val="both"/>
            </w:pPr>
          </w:p>
        </w:tc>
        <w:tc>
          <w:tcPr>
            <w:tcW w:w="1724" w:type="dxa"/>
          </w:tcPr>
          <w:p w:rsidR="001E7E0A" w:rsidRDefault="001B49AF" w:rsidP="00E04E80">
            <w:pPr>
              <w:pStyle w:val="Datumsangabe"/>
              <w:jc w:val="both"/>
            </w:pPr>
            <w:r>
              <w:t>23</w:t>
            </w:r>
            <w:r w:rsidR="00C97499">
              <w:t>.02</w:t>
            </w:r>
            <w:r w:rsidR="003278C3">
              <w:t>.2017</w:t>
            </w:r>
          </w:p>
          <w:p w:rsidR="001E7E0A" w:rsidRPr="0087668E" w:rsidRDefault="001E7E0A" w:rsidP="001B49AF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626904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1B49AF">
              <w:t>2</w:t>
            </w:r>
          </w:p>
        </w:tc>
      </w:tr>
    </w:tbl>
    <w:p w:rsidR="00E2328F" w:rsidRPr="00AA308D" w:rsidRDefault="00356B5B" w:rsidP="004A1750">
      <w:pPr>
        <w:rPr>
          <w:rFonts w:cs="Arial"/>
          <w:b/>
          <w:sz w:val="22"/>
          <w:lang w:eastAsia="de-DE"/>
        </w:rPr>
      </w:pPr>
      <w:r>
        <w:rPr>
          <w:rFonts w:cs="Arial"/>
          <w:b/>
          <w:sz w:val="22"/>
          <w:lang w:eastAsia="de-DE"/>
        </w:rPr>
        <w:t>Spart Zeit und Geld und b</w:t>
      </w:r>
      <w:r w:rsidR="001926F5">
        <w:rPr>
          <w:rFonts w:cs="Arial"/>
          <w:b/>
          <w:sz w:val="22"/>
          <w:lang w:eastAsia="de-DE"/>
        </w:rPr>
        <w:t xml:space="preserve">ringt Mehrwert für </w:t>
      </w:r>
      <w:r w:rsidR="00BD4E72">
        <w:rPr>
          <w:rFonts w:cs="Arial"/>
          <w:b/>
          <w:sz w:val="22"/>
          <w:lang w:eastAsia="de-DE"/>
        </w:rPr>
        <w:t>Kunden</w:t>
      </w:r>
      <w:r w:rsidR="005A37ED">
        <w:rPr>
          <w:rFonts w:cs="Arial"/>
          <w:b/>
          <w:sz w:val="22"/>
          <w:lang w:eastAsia="de-DE"/>
        </w:rPr>
        <w:t>,</w:t>
      </w:r>
      <w:r w:rsidR="00BD4E72">
        <w:rPr>
          <w:rFonts w:cs="Arial"/>
          <w:b/>
          <w:sz w:val="22"/>
          <w:lang w:eastAsia="de-DE"/>
        </w:rPr>
        <w:t xml:space="preserve"> Entwickler</w:t>
      </w:r>
      <w:r w:rsidR="005A37ED">
        <w:rPr>
          <w:rFonts w:cs="Arial"/>
          <w:b/>
          <w:sz w:val="22"/>
          <w:lang w:eastAsia="de-DE"/>
        </w:rPr>
        <w:t xml:space="preserve"> und Verarbeiter</w:t>
      </w:r>
      <w:r w:rsidR="00BD4E72">
        <w:rPr>
          <w:rFonts w:cs="Arial"/>
          <w:b/>
          <w:sz w:val="22"/>
          <w:lang w:eastAsia="de-DE"/>
        </w:rPr>
        <w:t xml:space="preserve">: Software </w:t>
      </w:r>
      <w:proofErr w:type="spellStart"/>
      <w:r w:rsidR="00BD4E72">
        <w:rPr>
          <w:rFonts w:cs="Arial"/>
          <w:b/>
          <w:sz w:val="22"/>
          <w:lang w:eastAsia="de-DE"/>
        </w:rPr>
        <w:t>ProWeld</w:t>
      </w:r>
      <w:proofErr w:type="spellEnd"/>
      <w:r w:rsidR="00BD4E72">
        <w:rPr>
          <w:rFonts w:cs="Arial"/>
          <w:b/>
          <w:sz w:val="22"/>
          <w:lang w:eastAsia="de-DE"/>
        </w:rPr>
        <w:t xml:space="preserve"> von </w:t>
      </w:r>
      <w:proofErr w:type="spellStart"/>
      <w:r w:rsidR="00BD4E72">
        <w:rPr>
          <w:rFonts w:cs="Arial"/>
          <w:b/>
          <w:sz w:val="22"/>
          <w:lang w:eastAsia="de-DE"/>
        </w:rPr>
        <w:t>thyssenkrupp</w:t>
      </w:r>
      <w:proofErr w:type="spellEnd"/>
      <w:r w:rsidR="00BD4E72">
        <w:rPr>
          <w:rFonts w:cs="Arial"/>
          <w:b/>
          <w:sz w:val="22"/>
          <w:lang w:eastAsia="de-DE"/>
        </w:rPr>
        <w:t xml:space="preserve"> Steel Europe berechnet Schweißprozesse</w:t>
      </w:r>
    </w:p>
    <w:p w:rsidR="004A1750" w:rsidRDefault="004A1750" w:rsidP="004A1750">
      <w:pPr>
        <w:rPr>
          <w:rFonts w:cs="Arial"/>
          <w:b/>
          <w:lang w:eastAsia="de-DE"/>
        </w:rPr>
      </w:pPr>
    </w:p>
    <w:p w:rsidR="00C97499" w:rsidRDefault="00AB357B" w:rsidP="00C97499">
      <w:pPr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  <w:r>
        <w:rPr>
          <w:rFonts w:ascii="TKTypeRegular" w:hAnsi="TKTypeRegular"/>
          <w:szCs w:val="20"/>
          <w:lang w:eastAsia="en-GB" w:bidi="en-GB"/>
        </w:rPr>
        <w:t xml:space="preserve">Stahl ist nicht gleich Stahl. </w:t>
      </w:r>
      <w:r w:rsidR="005A37ED">
        <w:rPr>
          <w:rFonts w:ascii="TKTypeRegular" w:hAnsi="TKTypeRegular"/>
          <w:szCs w:val="20"/>
          <w:lang w:eastAsia="en-GB" w:bidi="en-GB"/>
        </w:rPr>
        <w:t xml:space="preserve">Alleine </w:t>
      </w:r>
      <w:proofErr w:type="spellStart"/>
      <w:r w:rsidR="005A37ED">
        <w:rPr>
          <w:rFonts w:ascii="TKTypeRegular" w:hAnsi="TKTypeRegular"/>
          <w:szCs w:val="20"/>
          <w:lang w:eastAsia="en-GB" w:bidi="en-GB"/>
        </w:rPr>
        <w:t>thyssenkrupp</w:t>
      </w:r>
      <w:proofErr w:type="spellEnd"/>
      <w:r w:rsidR="005A37ED">
        <w:rPr>
          <w:rFonts w:ascii="TKTypeRegular" w:hAnsi="TKTypeRegular"/>
          <w:szCs w:val="20"/>
          <w:lang w:eastAsia="en-GB" w:bidi="en-GB"/>
        </w:rPr>
        <w:t xml:space="preserve"> führt ein Portfolio von über 1.800 Sorten</w:t>
      </w:r>
      <w:r w:rsidR="00957E2C">
        <w:rPr>
          <w:rFonts w:ascii="TKTypeRegular" w:hAnsi="TKTypeRegular"/>
          <w:szCs w:val="20"/>
          <w:lang w:eastAsia="en-GB" w:bidi="en-GB"/>
        </w:rPr>
        <w:t xml:space="preserve">. </w:t>
      </w:r>
      <w:r w:rsidR="005A37ED">
        <w:rPr>
          <w:rFonts w:ascii="TKTypeRegular" w:hAnsi="TKTypeRegular"/>
          <w:szCs w:val="20"/>
          <w:lang w:eastAsia="en-GB" w:bidi="en-GB"/>
        </w:rPr>
        <w:t xml:space="preserve">Eine </w:t>
      </w:r>
      <w:r w:rsidR="00957E2C">
        <w:rPr>
          <w:rFonts w:ascii="TKTypeRegular" w:hAnsi="TKTypeRegular"/>
          <w:szCs w:val="20"/>
          <w:lang w:eastAsia="en-GB" w:bidi="en-GB"/>
        </w:rPr>
        <w:t>entscheidende Frage</w:t>
      </w:r>
      <w:r w:rsidR="005A37ED">
        <w:rPr>
          <w:rFonts w:ascii="TKTypeRegular" w:hAnsi="TKTypeRegular"/>
          <w:szCs w:val="20"/>
          <w:lang w:eastAsia="en-GB" w:bidi="en-GB"/>
        </w:rPr>
        <w:t xml:space="preserve"> ist daher</w:t>
      </w:r>
      <w:r w:rsidR="00957E2C">
        <w:rPr>
          <w:rFonts w:ascii="TKTypeRegular" w:hAnsi="TKTypeRegular"/>
          <w:szCs w:val="20"/>
          <w:lang w:eastAsia="en-GB" w:bidi="en-GB"/>
        </w:rPr>
        <w:t xml:space="preserve">: </w:t>
      </w:r>
      <w:r w:rsidR="00356B5B">
        <w:rPr>
          <w:rFonts w:ascii="TKTypeRegular" w:hAnsi="TKTypeRegular"/>
          <w:szCs w:val="20"/>
          <w:lang w:eastAsia="en-GB" w:bidi="en-GB"/>
        </w:rPr>
        <w:t>W</w:t>
      </w:r>
      <w:r w:rsidR="00957E2C">
        <w:rPr>
          <w:rFonts w:ascii="TKTypeRegular" w:hAnsi="TKTypeRegular"/>
          <w:szCs w:val="20"/>
          <w:lang w:eastAsia="en-GB" w:bidi="en-GB"/>
        </w:rPr>
        <w:t xml:space="preserve">ie verhält sich ein bestimmter Stahl </w:t>
      </w:r>
      <w:r w:rsidR="006905F1">
        <w:rPr>
          <w:rFonts w:ascii="TKTypeRegular" w:hAnsi="TKTypeRegular"/>
          <w:szCs w:val="20"/>
          <w:lang w:eastAsia="en-GB" w:bidi="en-GB"/>
        </w:rPr>
        <w:t>im</w:t>
      </w:r>
      <w:r w:rsidR="00957E2C">
        <w:rPr>
          <w:rFonts w:ascii="TKTypeRegular" w:hAnsi="TKTypeRegular"/>
          <w:szCs w:val="20"/>
          <w:lang w:eastAsia="en-GB" w:bidi="en-GB"/>
        </w:rPr>
        <w:t xml:space="preserve"> Verarbeitungsprozess, beispielweise beim Schweißen. </w:t>
      </w:r>
      <w:proofErr w:type="spellStart"/>
      <w:r w:rsidR="00957E2C">
        <w:rPr>
          <w:rFonts w:ascii="TKTypeRegular" w:hAnsi="TKTypeRegular"/>
          <w:szCs w:val="20"/>
          <w:lang w:eastAsia="en-GB" w:bidi="en-GB"/>
        </w:rPr>
        <w:t>thyssenkrupp</w:t>
      </w:r>
      <w:proofErr w:type="spellEnd"/>
      <w:r w:rsidR="00957E2C">
        <w:rPr>
          <w:rFonts w:ascii="TKTypeRegular" w:hAnsi="TKTypeRegular"/>
          <w:szCs w:val="20"/>
          <w:lang w:eastAsia="en-GB" w:bidi="en-GB"/>
        </w:rPr>
        <w:t xml:space="preserve"> Steel Europe</w:t>
      </w:r>
      <w:r w:rsidR="00EB58CA">
        <w:rPr>
          <w:rFonts w:ascii="TKTypeRegular" w:hAnsi="TKTypeRegular"/>
          <w:szCs w:val="20"/>
          <w:lang w:eastAsia="en-GB" w:bidi="en-GB"/>
        </w:rPr>
        <w:t xml:space="preserve"> hat seine etablierte Software </w:t>
      </w:r>
      <w:proofErr w:type="spellStart"/>
      <w:r w:rsidR="00EB58CA">
        <w:rPr>
          <w:rFonts w:ascii="TKTypeRegular" w:hAnsi="TKTypeRegular"/>
          <w:szCs w:val="20"/>
          <w:lang w:eastAsia="en-GB" w:bidi="en-GB"/>
        </w:rPr>
        <w:t>ProWeld</w:t>
      </w:r>
      <w:proofErr w:type="spellEnd"/>
      <w:r w:rsidR="00957E2C">
        <w:rPr>
          <w:rFonts w:ascii="TKTypeRegular" w:hAnsi="TKTypeRegular"/>
          <w:szCs w:val="20"/>
          <w:lang w:eastAsia="en-GB" w:bidi="en-GB"/>
        </w:rPr>
        <w:t xml:space="preserve"> </w:t>
      </w:r>
      <w:r w:rsidR="00EB58CA">
        <w:rPr>
          <w:rFonts w:ascii="TKTypeRegular" w:hAnsi="TKTypeRegular"/>
          <w:szCs w:val="20"/>
          <w:lang w:eastAsia="en-GB" w:bidi="en-GB"/>
        </w:rPr>
        <w:t xml:space="preserve">komplett überarbeitet und </w:t>
      </w:r>
      <w:r w:rsidR="00957E2C">
        <w:rPr>
          <w:rFonts w:ascii="TKTypeRegular" w:hAnsi="TKTypeRegular"/>
          <w:szCs w:val="20"/>
          <w:lang w:eastAsia="en-GB" w:bidi="en-GB"/>
        </w:rPr>
        <w:t>bietet Interessenten</w:t>
      </w:r>
      <w:r w:rsidR="00EB58CA">
        <w:rPr>
          <w:rFonts w:ascii="TKTypeRegular" w:hAnsi="TKTypeRegular"/>
          <w:szCs w:val="20"/>
          <w:lang w:eastAsia="en-GB" w:bidi="en-GB"/>
        </w:rPr>
        <w:t xml:space="preserve"> damit</w:t>
      </w:r>
      <w:r w:rsidR="00957E2C">
        <w:rPr>
          <w:rFonts w:ascii="TKTypeRegular" w:hAnsi="TKTypeRegular"/>
          <w:szCs w:val="20"/>
          <w:lang w:eastAsia="en-GB" w:bidi="en-GB"/>
        </w:rPr>
        <w:t xml:space="preserve"> ein</w:t>
      </w:r>
      <w:r w:rsidR="00EB58CA">
        <w:rPr>
          <w:rFonts w:ascii="TKTypeRegular" w:hAnsi="TKTypeRegular"/>
          <w:szCs w:val="20"/>
          <w:lang w:eastAsia="en-GB" w:bidi="en-GB"/>
        </w:rPr>
        <w:t xml:space="preserve"> kostenloses</w:t>
      </w:r>
      <w:r w:rsidR="00957E2C">
        <w:rPr>
          <w:rFonts w:ascii="TKTypeRegular" w:hAnsi="TKTypeRegular"/>
          <w:szCs w:val="20"/>
          <w:lang w:eastAsia="en-GB" w:bidi="en-GB"/>
        </w:rPr>
        <w:t xml:space="preserve"> Programm </w:t>
      </w:r>
      <w:r w:rsidR="001926F5">
        <w:rPr>
          <w:rFonts w:ascii="TKTypeRegular" w:hAnsi="TKTypeRegular"/>
          <w:szCs w:val="20"/>
          <w:lang w:eastAsia="en-GB" w:bidi="en-GB"/>
        </w:rPr>
        <w:t xml:space="preserve">zur Berechnung schweißtechnischer Daten vor allem </w:t>
      </w:r>
      <w:r w:rsidR="007273CB">
        <w:rPr>
          <w:rFonts w:ascii="TKTypeRegular" w:hAnsi="TKTypeRegular"/>
          <w:szCs w:val="20"/>
          <w:lang w:eastAsia="en-GB" w:bidi="en-GB"/>
        </w:rPr>
        <w:t xml:space="preserve">für die </w:t>
      </w:r>
      <w:r w:rsidR="001926F5">
        <w:rPr>
          <w:rFonts w:ascii="TKTypeRegular" w:hAnsi="TKTypeRegular"/>
          <w:szCs w:val="20"/>
          <w:lang w:eastAsia="en-GB" w:bidi="en-GB"/>
        </w:rPr>
        <w:t xml:space="preserve">Verarbeitung moderner </w:t>
      </w:r>
      <w:r w:rsidR="003158EB">
        <w:rPr>
          <w:rFonts w:ascii="TKTypeRegular" w:hAnsi="TKTypeRegular"/>
          <w:szCs w:val="20"/>
          <w:lang w:eastAsia="en-GB" w:bidi="en-GB"/>
        </w:rPr>
        <w:t>Feinkornbaust</w:t>
      </w:r>
      <w:r w:rsidR="001926F5">
        <w:rPr>
          <w:rFonts w:ascii="TKTypeRegular" w:hAnsi="TKTypeRegular"/>
          <w:szCs w:val="20"/>
          <w:lang w:eastAsia="en-GB" w:bidi="en-GB"/>
        </w:rPr>
        <w:t>ähle an.</w:t>
      </w:r>
    </w:p>
    <w:p w:rsidR="001926F5" w:rsidRDefault="001926F5" w:rsidP="00C97499">
      <w:pPr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</w:p>
    <w:p w:rsidR="001926F5" w:rsidRDefault="00356B5B" w:rsidP="00C97499">
      <w:pPr>
        <w:spacing w:line="360" w:lineRule="auto"/>
        <w:jc w:val="both"/>
        <w:rPr>
          <w:rFonts w:ascii="TKTypeRegular" w:hAnsi="TKTypeRegular"/>
          <w:b/>
          <w:szCs w:val="20"/>
          <w:lang w:eastAsia="en-GB" w:bidi="en-GB"/>
        </w:rPr>
      </w:pPr>
      <w:r>
        <w:rPr>
          <w:rFonts w:ascii="TKTypeRegular" w:hAnsi="TKTypeRegular"/>
          <w:b/>
          <w:szCs w:val="20"/>
          <w:lang w:eastAsia="en-GB" w:bidi="en-GB"/>
        </w:rPr>
        <w:t xml:space="preserve">Schweißverbindungen sind entscheidend für die Bauteilsicherheit </w:t>
      </w:r>
    </w:p>
    <w:p w:rsidR="00356B5B" w:rsidRDefault="006366DE" w:rsidP="00F91DF8">
      <w:pPr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  <w:r>
        <w:rPr>
          <w:rFonts w:ascii="TKTypeRegular" w:hAnsi="TKTypeRegular"/>
          <w:szCs w:val="20"/>
          <w:lang w:eastAsia="en-GB" w:bidi="en-GB"/>
        </w:rPr>
        <w:t>Ein</w:t>
      </w:r>
      <w:r w:rsidR="0086373E">
        <w:rPr>
          <w:rFonts w:ascii="TKTypeRegular" w:hAnsi="TKTypeRegular"/>
          <w:szCs w:val="20"/>
          <w:lang w:eastAsia="en-GB" w:bidi="en-GB"/>
        </w:rPr>
        <w:t xml:space="preserve"> Vorteil hoch- und höchstfester Stähle liegt in der Reduzierung der Blechdicke beispielsweise </w:t>
      </w:r>
      <w:r w:rsidR="007273CB">
        <w:rPr>
          <w:rFonts w:ascii="TKTypeRegular" w:hAnsi="TKTypeRegular"/>
          <w:szCs w:val="20"/>
          <w:lang w:eastAsia="en-GB" w:bidi="en-GB"/>
        </w:rPr>
        <w:t xml:space="preserve">beim </w:t>
      </w:r>
      <w:r w:rsidR="0086373E">
        <w:rPr>
          <w:rFonts w:ascii="TKTypeRegular" w:hAnsi="TKTypeRegular"/>
          <w:szCs w:val="20"/>
          <w:lang w:eastAsia="en-GB" w:bidi="en-GB"/>
        </w:rPr>
        <w:t>Mobilkran</w:t>
      </w:r>
      <w:r w:rsidR="007273CB">
        <w:rPr>
          <w:rFonts w:ascii="TKTypeRegular" w:hAnsi="TKTypeRegular"/>
          <w:szCs w:val="20"/>
          <w:lang w:eastAsia="en-GB" w:bidi="en-GB"/>
        </w:rPr>
        <w:t>bau</w:t>
      </w:r>
      <w:r w:rsidR="0086373E">
        <w:rPr>
          <w:rFonts w:ascii="TKTypeRegular" w:hAnsi="TKTypeRegular"/>
          <w:szCs w:val="20"/>
          <w:lang w:eastAsia="en-GB" w:bidi="en-GB"/>
        </w:rPr>
        <w:t xml:space="preserve"> und der daraus folgenden Absenkung des </w:t>
      </w:r>
      <w:r w:rsidR="00EB58CA">
        <w:rPr>
          <w:rFonts w:ascii="TKTypeRegular" w:hAnsi="TKTypeRegular"/>
          <w:szCs w:val="20"/>
          <w:lang w:eastAsia="en-GB" w:bidi="en-GB"/>
        </w:rPr>
        <w:t>Eigengewichts</w:t>
      </w:r>
      <w:r w:rsidR="0086373E">
        <w:rPr>
          <w:rFonts w:ascii="TKTypeRegular" w:hAnsi="TKTypeRegular"/>
          <w:szCs w:val="20"/>
          <w:lang w:eastAsia="en-GB" w:bidi="en-GB"/>
        </w:rPr>
        <w:t xml:space="preserve">. </w:t>
      </w:r>
      <w:r>
        <w:rPr>
          <w:rFonts w:ascii="TKTypeRegular" w:hAnsi="TKTypeRegular"/>
          <w:szCs w:val="20"/>
          <w:lang w:eastAsia="en-GB" w:bidi="en-GB"/>
        </w:rPr>
        <w:t xml:space="preserve">Die Nutzlast </w:t>
      </w:r>
      <w:proofErr w:type="gramStart"/>
      <w:r>
        <w:rPr>
          <w:rFonts w:ascii="TKTypeRegular" w:hAnsi="TKTypeRegular"/>
          <w:szCs w:val="20"/>
          <w:lang w:eastAsia="en-GB" w:bidi="en-GB"/>
        </w:rPr>
        <w:t>der Krane</w:t>
      </w:r>
      <w:proofErr w:type="gramEnd"/>
      <w:r>
        <w:rPr>
          <w:rFonts w:ascii="TKTypeRegular" w:hAnsi="TKTypeRegular"/>
          <w:szCs w:val="20"/>
          <w:lang w:eastAsia="en-GB" w:bidi="en-GB"/>
        </w:rPr>
        <w:t xml:space="preserve"> steigt, Herstellungs- und Betriebskosten </w:t>
      </w:r>
      <w:r w:rsidR="007273CB">
        <w:rPr>
          <w:rFonts w:ascii="TKTypeRegular" w:hAnsi="TKTypeRegular"/>
          <w:szCs w:val="20"/>
          <w:lang w:eastAsia="en-GB" w:bidi="en-GB"/>
        </w:rPr>
        <w:t>sinken</w:t>
      </w:r>
      <w:r>
        <w:rPr>
          <w:rFonts w:ascii="TKTypeRegular" w:hAnsi="TKTypeRegular"/>
          <w:szCs w:val="20"/>
          <w:lang w:eastAsia="en-GB" w:bidi="en-GB"/>
        </w:rPr>
        <w:t xml:space="preserve">. </w:t>
      </w:r>
      <w:r w:rsidR="00551CE9">
        <w:rPr>
          <w:rFonts w:ascii="TKTypeRegular" w:hAnsi="TKTypeRegular"/>
          <w:szCs w:val="20"/>
          <w:lang w:eastAsia="en-GB" w:bidi="en-GB"/>
        </w:rPr>
        <w:t xml:space="preserve">Solche </w:t>
      </w:r>
      <w:r>
        <w:rPr>
          <w:rFonts w:ascii="TKTypeRegular" w:hAnsi="TKTypeRegular"/>
          <w:szCs w:val="20"/>
          <w:lang w:eastAsia="en-GB" w:bidi="en-GB"/>
        </w:rPr>
        <w:t xml:space="preserve">Vorteile lassen sich aber nur dann realisieren, wenn in geschweißten Konstruktionen die Schweißverbindung </w:t>
      </w:r>
      <w:r w:rsidR="00EB58CA">
        <w:rPr>
          <w:rFonts w:ascii="TKTypeRegular" w:hAnsi="TKTypeRegular"/>
          <w:szCs w:val="20"/>
          <w:lang w:eastAsia="en-GB" w:bidi="en-GB"/>
        </w:rPr>
        <w:t>eine möglichst hohe</w:t>
      </w:r>
      <w:r>
        <w:rPr>
          <w:rFonts w:ascii="TKTypeRegular" w:hAnsi="TKTypeRegular"/>
          <w:szCs w:val="20"/>
          <w:lang w:eastAsia="en-GB" w:bidi="en-GB"/>
        </w:rPr>
        <w:t xml:space="preserve"> Tragfähigkeit erreicht. </w:t>
      </w:r>
    </w:p>
    <w:p w:rsidR="00356B5B" w:rsidRDefault="00356B5B" w:rsidP="00F91DF8">
      <w:pPr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</w:p>
    <w:p w:rsidR="00356B5B" w:rsidRPr="00356B5B" w:rsidRDefault="00356B5B" w:rsidP="00F91DF8">
      <w:pPr>
        <w:spacing w:line="360" w:lineRule="auto"/>
        <w:jc w:val="both"/>
        <w:rPr>
          <w:rFonts w:ascii="TKTypeRegular" w:hAnsi="TKTypeRegular"/>
          <w:b/>
          <w:szCs w:val="20"/>
          <w:lang w:eastAsia="en-GB" w:bidi="en-GB"/>
        </w:rPr>
      </w:pPr>
      <w:proofErr w:type="spellStart"/>
      <w:r w:rsidRPr="00356B5B">
        <w:rPr>
          <w:rFonts w:ascii="TKTypeRegular" w:hAnsi="TKTypeRegular"/>
          <w:b/>
          <w:szCs w:val="20"/>
          <w:lang w:eastAsia="en-GB" w:bidi="en-GB"/>
        </w:rPr>
        <w:t>ProWeld</w:t>
      </w:r>
      <w:proofErr w:type="spellEnd"/>
      <w:r w:rsidRPr="00356B5B">
        <w:rPr>
          <w:rFonts w:ascii="TKTypeRegular" w:hAnsi="TKTypeRegular"/>
          <w:b/>
          <w:szCs w:val="20"/>
          <w:lang w:eastAsia="en-GB" w:bidi="en-GB"/>
        </w:rPr>
        <w:t xml:space="preserve">: ein schneller Helfer </w:t>
      </w:r>
      <w:r w:rsidR="007248C1">
        <w:rPr>
          <w:rFonts w:ascii="TKTypeRegular" w:hAnsi="TKTypeRegular"/>
          <w:b/>
          <w:szCs w:val="20"/>
          <w:lang w:eastAsia="en-GB" w:bidi="en-GB"/>
        </w:rPr>
        <w:t>bei</w:t>
      </w:r>
      <w:r w:rsidRPr="00356B5B">
        <w:rPr>
          <w:rFonts w:ascii="TKTypeRegular" w:hAnsi="TKTypeRegular"/>
          <w:b/>
          <w:szCs w:val="20"/>
          <w:lang w:eastAsia="en-GB" w:bidi="en-GB"/>
        </w:rPr>
        <w:t xml:space="preserve"> </w:t>
      </w:r>
      <w:r w:rsidR="007248C1">
        <w:rPr>
          <w:rFonts w:ascii="TKTypeRegular" w:hAnsi="TKTypeRegular"/>
          <w:b/>
          <w:szCs w:val="20"/>
          <w:lang w:eastAsia="en-GB" w:bidi="en-GB"/>
        </w:rPr>
        <w:t xml:space="preserve">der Auswahl von </w:t>
      </w:r>
      <w:r w:rsidRPr="00356B5B">
        <w:rPr>
          <w:rFonts w:ascii="TKTypeRegular" w:hAnsi="TKTypeRegular"/>
          <w:b/>
          <w:szCs w:val="20"/>
          <w:lang w:eastAsia="en-GB" w:bidi="en-GB"/>
        </w:rPr>
        <w:t>Schweißparameter</w:t>
      </w:r>
      <w:r w:rsidR="007248C1">
        <w:rPr>
          <w:rFonts w:ascii="TKTypeRegular" w:hAnsi="TKTypeRegular"/>
          <w:b/>
          <w:szCs w:val="20"/>
          <w:lang w:eastAsia="en-GB" w:bidi="en-GB"/>
        </w:rPr>
        <w:t>n</w:t>
      </w:r>
    </w:p>
    <w:p w:rsidR="00FA282D" w:rsidRDefault="005A37ED" w:rsidP="00FA282D">
      <w:pPr>
        <w:spacing w:line="360" w:lineRule="auto"/>
        <w:jc w:val="both"/>
        <w:rPr>
          <w:szCs w:val="20"/>
        </w:rPr>
      </w:pPr>
      <w:r>
        <w:rPr>
          <w:rFonts w:ascii="TKTypeRegular" w:hAnsi="TKTypeRegular"/>
          <w:szCs w:val="20"/>
          <w:lang w:eastAsia="en-GB" w:bidi="en-GB"/>
        </w:rPr>
        <w:t xml:space="preserve">Ein Beispiel: </w:t>
      </w:r>
      <w:r w:rsidR="00C61019">
        <w:rPr>
          <w:rFonts w:ascii="TKTypeRegular" w:hAnsi="TKTypeRegular"/>
          <w:szCs w:val="20"/>
          <w:lang w:eastAsia="en-GB" w:bidi="en-GB"/>
        </w:rPr>
        <w:t>Um Kaltrisse zu verhindern, muss eine bestimmte Vorwärmtemperatur des Schweißnahtbereichs einge</w:t>
      </w:r>
      <w:r w:rsidR="00A41E73">
        <w:rPr>
          <w:rFonts w:ascii="TKTypeRegular" w:hAnsi="TKTypeRegular"/>
          <w:szCs w:val="20"/>
          <w:lang w:eastAsia="en-GB" w:bidi="en-GB"/>
        </w:rPr>
        <w:t>halten</w:t>
      </w:r>
      <w:r w:rsidR="00C61019">
        <w:rPr>
          <w:rFonts w:ascii="TKTypeRegular" w:hAnsi="TKTypeRegular"/>
          <w:szCs w:val="20"/>
          <w:lang w:eastAsia="en-GB" w:bidi="en-GB"/>
        </w:rPr>
        <w:t xml:space="preserve"> werden – unter anderem abhängig von </w:t>
      </w:r>
      <w:proofErr w:type="gramStart"/>
      <w:r w:rsidR="00C61019">
        <w:rPr>
          <w:rFonts w:ascii="TKTypeRegular" w:hAnsi="TKTypeRegular"/>
          <w:szCs w:val="20"/>
          <w:lang w:eastAsia="en-GB" w:bidi="en-GB"/>
        </w:rPr>
        <w:t>der Blechdicke</w:t>
      </w:r>
      <w:proofErr w:type="gramEnd"/>
      <w:r w:rsidR="00C61019">
        <w:rPr>
          <w:rFonts w:ascii="TKTypeRegular" w:hAnsi="TKTypeRegular"/>
          <w:szCs w:val="20"/>
          <w:lang w:eastAsia="en-GB" w:bidi="en-GB"/>
        </w:rPr>
        <w:t xml:space="preserve"> und der Stahlsorte. Um solche Parameter zu berechnen, hat </w:t>
      </w:r>
      <w:proofErr w:type="spellStart"/>
      <w:r w:rsidR="00C61019">
        <w:rPr>
          <w:rFonts w:ascii="TKTypeRegular" w:hAnsi="TKTypeRegular"/>
          <w:szCs w:val="20"/>
          <w:lang w:eastAsia="en-GB" w:bidi="en-GB"/>
        </w:rPr>
        <w:t>thyssenkrupp</w:t>
      </w:r>
      <w:proofErr w:type="spellEnd"/>
      <w:r w:rsidR="00C61019">
        <w:rPr>
          <w:rFonts w:ascii="TKTypeRegular" w:hAnsi="TKTypeRegular"/>
          <w:szCs w:val="20"/>
          <w:lang w:eastAsia="en-GB" w:bidi="en-GB"/>
        </w:rPr>
        <w:t xml:space="preserve"> Steel Europe die Software </w:t>
      </w:r>
      <w:proofErr w:type="spellStart"/>
      <w:r w:rsidR="00C61019">
        <w:rPr>
          <w:rFonts w:ascii="TKTypeRegular" w:hAnsi="TKTypeRegular"/>
          <w:szCs w:val="20"/>
          <w:lang w:eastAsia="en-GB" w:bidi="en-GB"/>
        </w:rPr>
        <w:t>ProWeld</w:t>
      </w:r>
      <w:proofErr w:type="spellEnd"/>
      <w:r w:rsidR="00C61019">
        <w:rPr>
          <w:rFonts w:ascii="TKTypeRegular" w:hAnsi="TKTypeRegular"/>
          <w:szCs w:val="20"/>
          <w:lang w:eastAsia="en-GB" w:bidi="en-GB"/>
        </w:rPr>
        <w:t xml:space="preserve"> entwickelt. </w:t>
      </w:r>
      <w:r w:rsidR="00F91DF8">
        <w:rPr>
          <w:rFonts w:ascii="TKTypeRegular" w:hAnsi="TKTypeRegular"/>
          <w:szCs w:val="20"/>
          <w:lang w:eastAsia="en-GB" w:bidi="en-GB"/>
        </w:rPr>
        <w:t xml:space="preserve">Sie ermöglicht </w:t>
      </w:r>
      <w:r>
        <w:rPr>
          <w:rFonts w:ascii="TKTypeRegular" w:hAnsi="TKTypeRegular"/>
          <w:szCs w:val="20"/>
          <w:lang w:eastAsia="en-GB" w:bidi="en-GB"/>
        </w:rPr>
        <w:t xml:space="preserve">den Nutzern </w:t>
      </w:r>
      <w:r w:rsidR="00F91DF8">
        <w:rPr>
          <w:rFonts w:ascii="TKTypeRegular" w:hAnsi="TKTypeRegular"/>
          <w:szCs w:val="20"/>
          <w:lang w:eastAsia="en-GB" w:bidi="en-GB"/>
        </w:rPr>
        <w:t xml:space="preserve">eine zuverlässige und schnelle Berechnung aller wichtigen Kennzahlen für den Schweißvorgang. </w:t>
      </w:r>
      <w:r w:rsidR="00526C3D">
        <w:rPr>
          <w:rFonts w:ascii="TKTypeRegular" w:hAnsi="TKTypeRegular"/>
          <w:szCs w:val="20"/>
          <w:lang w:eastAsia="en-GB" w:bidi="en-GB"/>
        </w:rPr>
        <w:t xml:space="preserve">So lassen sich in dem Programm der zu verwendende </w:t>
      </w:r>
      <w:r w:rsidR="00526C3D">
        <w:t xml:space="preserve">Schweißzusatz, das passende Schweißverfahren und auch die Nahtformen definieren. </w:t>
      </w:r>
      <w:bookmarkStart w:id="0" w:name="_GoBack"/>
      <w:bookmarkEnd w:id="0"/>
      <w:r w:rsidR="00551CE9">
        <w:t xml:space="preserve">Die </w:t>
      </w:r>
      <w:r w:rsidR="00356B5B">
        <w:t>Software liefert</w:t>
      </w:r>
      <w:r w:rsidR="00F91DF8">
        <w:t xml:space="preserve"> dabei die Werte für den thermischen Wirkungsgrad und die Nahtfaktoren gleich mit</w:t>
      </w:r>
      <w:r w:rsidR="00356B5B">
        <w:t>.</w:t>
      </w:r>
      <w:r w:rsidR="00F91DF8">
        <w:t xml:space="preserve"> </w:t>
      </w:r>
      <w:proofErr w:type="spellStart"/>
      <w:r w:rsidR="00356B5B">
        <w:t>ProWeld</w:t>
      </w:r>
      <w:proofErr w:type="spellEnd"/>
      <w:r w:rsidR="00356B5B">
        <w:t xml:space="preserve"> errechnet aus diesen </w:t>
      </w:r>
      <w:r w:rsidR="00356B5B" w:rsidRPr="00551CE9">
        <w:rPr>
          <w:szCs w:val="20"/>
        </w:rPr>
        <w:t>vor</w:t>
      </w:r>
      <w:r w:rsidR="00393098">
        <w:rPr>
          <w:szCs w:val="20"/>
        </w:rPr>
        <w:t>gewählten</w:t>
      </w:r>
      <w:r w:rsidR="00356B5B" w:rsidRPr="00551CE9">
        <w:rPr>
          <w:szCs w:val="20"/>
        </w:rPr>
        <w:t xml:space="preserve"> Daten dann die </w:t>
      </w:r>
      <w:r w:rsidR="00F91DF8" w:rsidRPr="00551CE9">
        <w:rPr>
          <w:szCs w:val="20"/>
        </w:rPr>
        <w:t xml:space="preserve">Empfehlungen für die Vorwärm- und Zwischenlagertemperatur und die Wärmeeinbringung beim Schweißen. Die Ergebnisse, </w:t>
      </w:r>
      <w:r w:rsidR="00F91DF8" w:rsidRPr="00FA282D">
        <w:rPr>
          <w:szCs w:val="20"/>
        </w:rPr>
        <w:t xml:space="preserve">einschließlich der vertretbaren Toleranzen, werden grafisch in Gestalt eines Arbeitsfelds für das Schweißen dargestellt. </w:t>
      </w:r>
      <w:r w:rsidR="00356B5B" w:rsidRPr="00FA282D">
        <w:rPr>
          <w:szCs w:val="20"/>
        </w:rPr>
        <w:t xml:space="preserve">Zusätzlich wird in einer </w:t>
      </w:r>
      <w:r w:rsidR="00F91DF8" w:rsidRPr="00FA282D">
        <w:rPr>
          <w:szCs w:val="20"/>
        </w:rPr>
        <w:t>weiteren Grafik de</w:t>
      </w:r>
      <w:r w:rsidR="00356B5B" w:rsidRPr="00FA282D">
        <w:rPr>
          <w:szCs w:val="20"/>
        </w:rPr>
        <w:t>r</w:t>
      </w:r>
      <w:r w:rsidR="00F91DF8" w:rsidRPr="00FA282D">
        <w:rPr>
          <w:szCs w:val="20"/>
        </w:rPr>
        <w:t xml:space="preserve"> Einfluss der Abkühlzeit </w:t>
      </w:r>
      <w:r w:rsidR="00356B5B" w:rsidRPr="00FA282D">
        <w:rPr>
          <w:szCs w:val="20"/>
        </w:rPr>
        <w:t xml:space="preserve">von 800 und 500 Grad </w:t>
      </w:r>
      <w:r w:rsidR="00356B5B" w:rsidRPr="00FA282D">
        <w:rPr>
          <w:szCs w:val="20"/>
        </w:rPr>
        <w:lastRenderedPageBreak/>
        <w:t xml:space="preserve">Celsius </w:t>
      </w:r>
      <w:r w:rsidR="00F91DF8" w:rsidRPr="00FA282D">
        <w:rPr>
          <w:szCs w:val="20"/>
        </w:rPr>
        <w:t>auf die Höchsthärte</w:t>
      </w:r>
      <w:r w:rsidR="00650B57">
        <w:rPr>
          <w:szCs w:val="20"/>
        </w:rPr>
        <w:t xml:space="preserve"> in der Wärmeeinflusszone</w:t>
      </w:r>
      <w:r w:rsidR="00F91DF8" w:rsidRPr="00FA282D">
        <w:rPr>
          <w:szCs w:val="20"/>
        </w:rPr>
        <w:t xml:space="preserve"> </w:t>
      </w:r>
      <w:r w:rsidR="00356B5B" w:rsidRPr="00FA282D">
        <w:rPr>
          <w:szCs w:val="20"/>
        </w:rPr>
        <w:t xml:space="preserve">angezeigt. Es ist auf dieser Basis beispielsweise möglich, die </w:t>
      </w:r>
      <w:r w:rsidR="00F91DF8" w:rsidRPr="00FA282D">
        <w:rPr>
          <w:szCs w:val="20"/>
        </w:rPr>
        <w:t>minimal</w:t>
      </w:r>
      <w:r w:rsidR="00432288">
        <w:rPr>
          <w:szCs w:val="20"/>
        </w:rPr>
        <w:t xml:space="preserve"> notwendige</w:t>
      </w:r>
      <w:r w:rsidR="00F91DF8" w:rsidRPr="00FA282D">
        <w:rPr>
          <w:szCs w:val="20"/>
        </w:rPr>
        <w:t xml:space="preserve"> Abkühlzeit </w:t>
      </w:r>
      <w:r w:rsidR="00356B5B" w:rsidRPr="00FA282D">
        <w:rPr>
          <w:szCs w:val="20"/>
        </w:rPr>
        <w:t xml:space="preserve">zu bestimmen, wenn eine </w:t>
      </w:r>
      <w:proofErr w:type="spellStart"/>
      <w:r w:rsidR="00F91DF8" w:rsidRPr="00FA282D">
        <w:rPr>
          <w:szCs w:val="20"/>
        </w:rPr>
        <w:t>Aufhärtung</w:t>
      </w:r>
      <w:proofErr w:type="spellEnd"/>
      <w:r w:rsidR="00F91DF8" w:rsidRPr="00FA282D">
        <w:rPr>
          <w:szCs w:val="20"/>
        </w:rPr>
        <w:t xml:space="preserve"> des Werkstoffs begrenz</w:t>
      </w:r>
      <w:r w:rsidR="00356B5B" w:rsidRPr="00FA282D">
        <w:rPr>
          <w:szCs w:val="20"/>
        </w:rPr>
        <w:t xml:space="preserve">t werden soll. </w:t>
      </w:r>
    </w:p>
    <w:p w:rsidR="00FA282D" w:rsidRDefault="00FA282D" w:rsidP="00FA282D">
      <w:pPr>
        <w:spacing w:line="360" w:lineRule="auto"/>
        <w:jc w:val="both"/>
        <w:rPr>
          <w:szCs w:val="20"/>
        </w:rPr>
      </w:pPr>
    </w:p>
    <w:p w:rsidR="00FA282D" w:rsidRDefault="00FA282D" w:rsidP="00FA282D">
      <w:pPr>
        <w:spacing w:line="360" w:lineRule="auto"/>
        <w:jc w:val="both"/>
        <w:rPr>
          <w:rFonts w:ascii="TKTypeRegular" w:hAnsi="TKTypeRegular"/>
          <w:szCs w:val="20"/>
        </w:rPr>
      </w:pPr>
      <w:r w:rsidRPr="00FA282D">
        <w:rPr>
          <w:szCs w:val="20"/>
        </w:rPr>
        <w:t xml:space="preserve">Die </w:t>
      </w:r>
      <w:r>
        <w:rPr>
          <w:szCs w:val="20"/>
        </w:rPr>
        <w:t>mit H</w:t>
      </w:r>
      <w:r w:rsidRPr="00FA282D">
        <w:rPr>
          <w:rFonts w:ascii="TKTypeRegular" w:hAnsi="TKTypeRegular"/>
          <w:szCs w:val="20"/>
        </w:rPr>
        <w:t xml:space="preserve">ilfe von </w:t>
      </w:r>
      <w:proofErr w:type="spellStart"/>
      <w:r w:rsidRPr="00FA282D">
        <w:rPr>
          <w:rFonts w:ascii="TKTypeRegular" w:hAnsi="TKTypeRegular"/>
          <w:szCs w:val="20"/>
        </w:rPr>
        <w:t>ProWeld</w:t>
      </w:r>
      <w:proofErr w:type="spellEnd"/>
      <w:r w:rsidRPr="00FA282D">
        <w:rPr>
          <w:rFonts w:ascii="TKTypeRegular" w:hAnsi="TKTypeRegular"/>
          <w:szCs w:val="20"/>
        </w:rPr>
        <w:t xml:space="preserve"> </w:t>
      </w:r>
      <w:r>
        <w:rPr>
          <w:rFonts w:ascii="TKTypeRegular" w:hAnsi="TKTypeRegular"/>
          <w:szCs w:val="20"/>
        </w:rPr>
        <w:t>möglichen Berechnungen im Einzelnen</w:t>
      </w:r>
      <w:r w:rsidRPr="00FA282D">
        <w:rPr>
          <w:rFonts w:ascii="TKTypeRegular" w:hAnsi="TKTypeRegular"/>
          <w:szCs w:val="20"/>
        </w:rPr>
        <w:t>:</w:t>
      </w:r>
    </w:p>
    <w:p w:rsidR="00FA282D" w:rsidRPr="00FA282D" w:rsidRDefault="00FA282D" w:rsidP="00FA282D">
      <w:pPr>
        <w:spacing w:line="360" w:lineRule="auto"/>
        <w:jc w:val="both"/>
        <w:rPr>
          <w:rFonts w:ascii="TKTypeRegular" w:hAnsi="TKTypeRegular"/>
          <w:szCs w:val="20"/>
        </w:rPr>
      </w:pPr>
    </w:p>
    <w:p w:rsidR="00FA282D" w:rsidRPr="00FA282D" w:rsidRDefault="00FA282D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</w:rPr>
      </w:pPr>
      <w:r w:rsidRPr="00FA282D">
        <w:rPr>
          <w:rFonts w:ascii="TKTypeRegular" w:hAnsi="TKTypeRegular"/>
          <w:szCs w:val="20"/>
        </w:rPr>
        <w:t>Kohlenstoffäquivalente</w:t>
      </w:r>
    </w:p>
    <w:p w:rsidR="00FA282D" w:rsidRPr="00FA282D" w:rsidRDefault="00FA282D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</w:rPr>
      </w:pPr>
      <w:r w:rsidRPr="00FA282D">
        <w:rPr>
          <w:rFonts w:ascii="TKTypeRegular" w:hAnsi="TKTypeRegular"/>
          <w:szCs w:val="20"/>
        </w:rPr>
        <w:t>Mindestvorwärmtemperatur</w:t>
      </w:r>
    </w:p>
    <w:p w:rsidR="00FA282D" w:rsidRPr="00FA282D" w:rsidRDefault="00FA282D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</w:rPr>
      </w:pPr>
      <w:r w:rsidRPr="00FA282D">
        <w:rPr>
          <w:rFonts w:ascii="TKTypeRegular" w:hAnsi="TKTypeRegular"/>
          <w:szCs w:val="20"/>
        </w:rPr>
        <w:t>Abkühlzeit t</w:t>
      </w:r>
      <w:r w:rsidRPr="00FA282D">
        <w:rPr>
          <w:rFonts w:ascii="TKTypeRegular" w:hAnsi="TKTypeRegular"/>
          <w:szCs w:val="20"/>
          <w:vertAlign w:val="subscript"/>
        </w:rPr>
        <w:t>8/5</w:t>
      </w:r>
    </w:p>
    <w:p w:rsidR="00FA282D" w:rsidRPr="00FA282D" w:rsidRDefault="00FA282D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</w:rPr>
      </w:pPr>
      <w:r w:rsidRPr="00FA282D">
        <w:rPr>
          <w:rFonts w:ascii="TKTypeRegular" w:hAnsi="TKTypeRegular"/>
          <w:szCs w:val="20"/>
        </w:rPr>
        <w:t>Wärmeeinbringen und Streckenenergie</w:t>
      </w:r>
    </w:p>
    <w:p w:rsidR="00FA282D" w:rsidRPr="00FA282D" w:rsidRDefault="00FA282D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</w:rPr>
      </w:pPr>
      <w:r w:rsidRPr="00FA282D">
        <w:rPr>
          <w:rFonts w:ascii="TKTypeRegular" w:hAnsi="TKTypeRegular"/>
          <w:szCs w:val="20"/>
        </w:rPr>
        <w:t>Höchsthärte in der WEZ</w:t>
      </w:r>
    </w:p>
    <w:p w:rsidR="00F91DF8" w:rsidRPr="00FA282D" w:rsidRDefault="00F91DF8" w:rsidP="00FA282D">
      <w:pPr>
        <w:spacing w:line="360" w:lineRule="auto"/>
        <w:jc w:val="both"/>
        <w:rPr>
          <w:szCs w:val="20"/>
        </w:rPr>
      </w:pPr>
    </w:p>
    <w:p w:rsidR="00551CE9" w:rsidRDefault="00551CE9" w:rsidP="00FA282D">
      <w:pPr>
        <w:spacing w:line="360" w:lineRule="auto"/>
        <w:rPr>
          <w:szCs w:val="20"/>
        </w:rPr>
      </w:pPr>
      <w:r w:rsidRPr="00551CE9">
        <w:rPr>
          <w:szCs w:val="20"/>
        </w:rPr>
        <w:t xml:space="preserve">Zur Nutzung von </w:t>
      </w:r>
      <w:proofErr w:type="spellStart"/>
      <w:r w:rsidRPr="00551CE9">
        <w:rPr>
          <w:szCs w:val="20"/>
        </w:rPr>
        <w:t>ProWeld</w:t>
      </w:r>
      <w:proofErr w:type="spellEnd"/>
      <w:r w:rsidRPr="00551CE9">
        <w:rPr>
          <w:szCs w:val="20"/>
        </w:rPr>
        <w:t xml:space="preserve"> ist lediglich eine Registrierung auf der Website von </w:t>
      </w:r>
      <w:proofErr w:type="spellStart"/>
      <w:r w:rsidRPr="00551CE9">
        <w:rPr>
          <w:szCs w:val="20"/>
        </w:rPr>
        <w:t>thys</w:t>
      </w:r>
      <w:r w:rsidR="001B49AF">
        <w:rPr>
          <w:szCs w:val="20"/>
        </w:rPr>
        <w:t>senkrupp</w:t>
      </w:r>
      <w:proofErr w:type="spellEnd"/>
      <w:r w:rsidR="001B49AF">
        <w:rPr>
          <w:szCs w:val="20"/>
        </w:rPr>
        <w:t xml:space="preserve"> Steel Europe notwendig. Nutzer die bereits bei „Steel online“ registriert sind, können </w:t>
      </w:r>
      <w:proofErr w:type="spellStart"/>
      <w:r w:rsidR="001B49AF">
        <w:rPr>
          <w:szCs w:val="20"/>
        </w:rPr>
        <w:t>ProWeld</w:t>
      </w:r>
      <w:proofErr w:type="spellEnd"/>
      <w:r w:rsidR="001B49AF">
        <w:rPr>
          <w:szCs w:val="20"/>
        </w:rPr>
        <w:t xml:space="preserve"> direkt nutzen. </w:t>
      </w:r>
    </w:p>
    <w:p w:rsidR="001B49AF" w:rsidRPr="00551CE9" w:rsidRDefault="001B49AF" w:rsidP="00FA282D">
      <w:pPr>
        <w:spacing w:line="360" w:lineRule="auto"/>
        <w:rPr>
          <w:szCs w:val="20"/>
        </w:rPr>
      </w:pPr>
    </w:p>
    <w:p w:rsidR="00551CE9" w:rsidRPr="00551CE9" w:rsidRDefault="00A973E0" w:rsidP="00551CE9">
      <w:pPr>
        <w:rPr>
          <w:szCs w:val="20"/>
        </w:rPr>
      </w:pPr>
      <w:hyperlink r:id="rId9" w:history="1">
        <w:r w:rsidR="00551CE9" w:rsidRPr="00551CE9">
          <w:rPr>
            <w:rStyle w:val="Hyperlink"/>
            <w:color w:val="000000" w:themeColor="text1"/>
            <w:szCs w:val="20"/>
          </w:rPr>
          <w:t>https://online.thyssenkrupp-Steel.com/ecmlogin/proweld_register.do</w:t>
        </w:r>
      </w:hyperlink>
    </w:p>
    <w:p w:rsidR="00551CE9" w:rsidRPr="00551CE9" w:rsidRDefault="00551CE9" w:rsidP="00F91DF8">
      <w:pPr>
        <w:spacing w:line="360" w:lineRule="auto"/>
        <w:jc w:val="both"/>
      </w:pPr>
    </w:p>
    <w:p w:rsidR="00F91DF8" w:rsidRDefault="00F91DF8" w:rsidP="00F91DF8">
      <w:pPr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</w:p>
    <w:p w:rsidR="007273CB" w:rsidRDefault="007273CB" w:rsidP="00F91DF8">
      <w:pPr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</w:p>
    <w:p w:rsidR="007273CB" w:rsidRDefault="007273CB" w:rsidP="007273CB">
      <w:r>
        <w:t>Ansprechpartner:</w:t>
      </w:r>
    </w:p>
    <w:p w:rsidR="007273CB" w:rsidRDefault="007273CB" w:rsidP="007273CB"/>
    <w:p w:rsidR="007273CB" w:rsidRDefault="007273CB" w:rsidP="007273CB">
      <w:proofErr w:type="spellStart"/>
      <w:r>
        <w:t>thyssenkrupp</w:t>
      </w:r>
      <w:proofErr w:type="spellEnd"/>
      <w:r>
        <w:t xml:space="preserve"> Steel Europe AG</w:t>
      </w:r>
    </w:p>
    <w:p w:rsidR="007273CB" w:rsidRDefault="007273CB" w:rsidP="007273CB">
      <w:r>
        <w:t>Erik Walner</w:t>
      </w:r>
    </w:p>
    <w:p w:rsidR="007273CB" w:rsidRDefault="007273CB" w:rsidP="007273CB">
      <w:r>
        <w:t>Leiter Media Relations</w:t>
      </w:r>
    </w:p>
    <w:p w:rsidR="007273CB" w:rsidRDefault="007273CB" w:rsidP="007273CB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7273CB" w:rsidRDefault="007273CB" w:rsidP="007273CB">
      <w:r>
        <w:t>erik.walner@thyssenkrupp.com</w:t>
      </w:r>
    </w:p>
    <w:p w:rsidR="007273CB" w:rsidRPr="00817CB7" w:rsidRDefault="007273CB" w:rsidP="007273CB">
      <w:pPr>
        <w:tabs>
          <w:tab w:val="left" w:pos="3207"/>
        </w:tabs>
        <w:rPr>
          <w:lang w:val="en-GB"/>
        </w:rPr>
      </w:pPr>
      <w:r w:rsidRPr="00817CB7">
        <w:rPr>
          <w:lang w:val="en-GB"/>
        </w:rPr>
        <w:t xml:space="preserve">www.thyssenkrupp-steel.com </w:t>
      </w:r>
    </w:p>
    <w:p w:rsidR="007273CB" w:rsidRPr="00817CB7" w:rsidRDefault="007273CB" w:rsidP="007273CB">
      <w:pPr>
        <w:tabs>
          <w:tab w:val="left" w:pos="3207"/>
        </w:tabs>
        <w:rPr>
          <w:lang w:val="en-GB"/>
        </w:rPr>
      </w:pPr>
      <w:r w:rsidRPr="00817CB7">
        <w:rPr>
          <w:lang w:val="en-GB"/>
        </w:rPr>
        <w:tab/>
      </w:r>
    </w:p>
    <w:p w:rsidR="007273CB" w:rsidRPr="00375D3A" w:rsidRDefault="007273CB" w:rsidP="007273CB">
      <w:pPr>
        <w:rPr>
          <w:rFonts w:eastAsia="Times New Roman"/>
          <w:color w:val="000000"/>
          <w:lang w:val="en-US" w:eastAsia="de-DE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10" w:history="1">
        <w:r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</w:p>
    <w:p w:rsidR="007273CB" w:rsidRPr="002241CD" w:rsidRDefault="007273CB" w:rsidP="00F91DF8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p w:rsidR="007273CB" w:rsidRPr="002241CD" w:rsidRDefault="007273CB" w:rsidP="00F91DF8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sectPr w:rsidR="007273CB" w:rsidRPr="002241CD" w:rsidSect="008D3D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C4" w:rsidRDefault="00D869C4" w:rsidP="005B5ABA">
      <w:pPr>
        <w:spacing w:line="240" w:lineRule="auto"/>
      </w:pPr>
      <w:r>
        <w:separator/>
      </w:r>
    </w:p>
  </w:endnote>
  <w:endnote w:type="continuationSeparator" w:id="0">
    <w:p w:rsidR="00D869C4" w:rsidRDefault="00D869C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4125C31" wp14:editId="1F67800C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632CF" w:rsidRPr="0062327F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</w:t>
                          </w:r>
                          <w:r w:rsidR="00AA308D">
                            <w:rPr>
                              <w:rFonts w:asciiTheme="majorHAnsi" w:hAnsiTheme="majorHAnsi"/>
                              <w:szCs w:val="14"/>
                            </w:rPr>
                            <w:t>Arnd Köfler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632CF" w:rsidRPr="0062327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</w:t>
                    </w:r>
                    <w:r w:rsidR="00AA308D">
                      <w:rPr>
                        <w:rFonts w:asciiTheme="majorHAnsi" w:hAnsiTheme="majorHAnsi"/>
                        <w:szCs w:val="14"/>
                      </w:rPr>
                      <w:t>Arnd Köfler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6DC7AFB5" wp14:editId="20ACAED6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</w:t>
                          </w:r>
                          <w:r w:rsidR="008D4352">
                            <w:rPr>
                              <w:rFonts w:asciiTheme="majorHAnsi" w:hAnsiTheme="majorHAnsi"/>
                              <w:szCs w:val="14"/>
                            </w:rPr>
                            <w:t>Dr. Heribert R. Fischer,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</w:p>
                        <w:p w:rsidR="00EB4732" w:rsidRPr="00017C1F" w:rsidRDefault="008D435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 Arnd Köfler,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632C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</w:t>
                    </w:r>
                    <w:r w:rsidR="008D4352">
                      <w:rPr>
                        <w:rFonts w:asciiTheme="majorHAnsi" w:hAnsiTheme="majorHAnsi"/>
                        <w:szCs w:val="14"/>
                      </w:rPr>
                      <w:t>Dr. Heribert R. Fischer,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</w:p>
                  <w:p w:rsidR="00EB4732" w:rsidRPr="00017C1F" w:rsidRDefault="008D435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 xml:space="preserve">Dr. Arnd Köfler,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C4" w:rsidRDefault="00D869C4" w:rsidP="005B5ABA">
      <w:pPr>
        <w:spacing w:line="240" w:lineRule="auto"/>
      </w:pPr>
      <w:r>
        <w:separator/>
      </w:r>
    </w:p>
  </w:footnote>
  <w:footnote w:type="continuationSeparator" w:id="0">
    <w:p w:rsidR="00D869C4" w:rsidRDefault="00D869C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8636878" wp14:editId="78AB9F7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111981" wp14:editId="0A0C472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D869C4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526C3D">
                              <w:rPr>
                                <w:noProof/>
                              </w:rPr>
                              <w:t>23.02.2017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26C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526C3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D869C4" w:rsidP="001E7E0A">
                    <w:pPr>
                      <w:pStyle w:val="Datumsangabe"/>
                    </w:pPr>
                    <w:fldSimple w:instr=" STYLEREF  Datumsangabe  \* MERGEFORMAT ">
                      <w:r w:rsidR="00526C3D">
                        <w:rPr>
                          <w:noProof/>
                        </w:rPr>
                        <w:t>23.02.2017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26C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526C3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0A80155" wp14:editId="284803D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721787A"/>
    <w:multiLevelType w:val="hybridMultilevel"/>
    <w:tmpl w:val="7EBEC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0"/>
  </w:num>
  <w:num w:numId="23">
    <w:abstractNumId w:val="9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57BA"/>
    <w:rsid w:val="00017427"/>
    <w:rsid w:val="00017C1F"/>
    <w:rsid w:val="00021A3E"/>
    <w:rsid w:val="00022818"/>
    <w:rsid w:val="000340B5"/>
    <w:rsid w:val="00036156"/>
    <w:rsid w:val="0004020B"/>
    <w:rsid w:val="00040FF0"/>
    <w:rsid w:val="000416B2"/>
    <w:rsid w:val="00041D56"/>
    <w:rsid w:val="0004691F"/>
    <w:rsid w:val="00046AE5"/>
    <w:rsid w:val="00047BF9"/>
    <w:rsid w:val="00050F0E"/>
    <w:rsid w:val="00056719"/>
    <w:rsid w:val="00056B18"/>
    <w:rsid w:val="000616C7"/>
    <w:rsid w:val="0006281E"/>
    <w:rsid w:val="0006474B"/>
    <w:rsid w:val="00065D3B"/>
    <w:rsid w:val="000677D4"/>
    <w:rsid w:val="00067B08"/>
    <w:rsid w:val="00085CC6"/>
    <w:rsid w:val="000A2463"/>
    <w:rsid w:val="000A40CF"/>
    <w:rsid w:val="000B3EAB"/>
    <w:rsid w:val="000B6EBA"/>
    <w:rsid w:val="000D4B6C"/>
    <w:rsid w:val="000D4D6C"/>
    <w:rsid w:val="000E478B"/>
    <w:rsid w:val="000F62A0"/>
    <w:rsid w:val="00100C9F"/>
    <w:rsid w:val="0010285E"/>
    <w:rsid w:val="00102C50"/>
    <w:rsid w:val="001074A8"/>
    <w:rsid w:val="0011188C"/>
    <w:rsid w:val="00120391"/>
    <w:rsid w:val="00121E82"/>
    <w:rsid w:val="00127BB0"/>
    <w:rsid w:val="001306E1"/>
    <w:rsid w:val="0013083B"/>
    <w:rsid w:val="001321C6"/>
    <w:rsid w:val="001364F9"/>
    <w:rsid w:val="00140C86"/>
    <w:rsid w:val="00142480"/>
    <w:rsid w:val="001451D3"/>
    <w:rsid w:val="001476F3"/>
    <w:rsid w:val="00151240"/>
    <w:rsid w:val="00154525"/>
    <w:rsid w:val="0016637C"/>
    <w:rsid w:val="00182EC3"/>
    <w:rsid w:val="001861FA"/>
    <w:rsid w:val="0019264F"/>
    <w:rsid w:val="001926F5"/>
    <w:rsid w:val="001932C1"/>
    <w:rsid w:val="001974BE"/>
    <w:rsid w:val="001A0348"/>
    <w:rsid w:val="001A259A"/>
    <w:rsid w:val="001A6CD7"/>
    <w:rsid w:val="001B118B"/>
    <w:rsid w:val="001B49AF"/>
    <w:rsid w:val="001B5789"/>
    <w:rsid w:val="001B5D61"/>
    <w:rsid w:val="001C001F"/>
    <w:rsid w:val="001C031C"/>
    <w:rsid w:val="001D6399"/>
    <w:rsid w:val="001D67B9"/>
    <w:rsid w:val="001E7E0A"/>
    <w:rsid w:val="001F0581"/>
    <w:rsid w:val="001F1437"/>
    <w:rsid w:val="00212107"/>
    <w:rsid w:val="002200A0"/>
    <w:rsid w:val="002241CD"/>
    <w:rsid w:val="0022554F"/>
    <w:rsid w:val="0023248C"/>
    <w:rsid w:val="00240D8A"/>
    <w:rsid w:val="00243C72"/>
    <w:rsid w:val="0024653B"/>
    <w:rsid w:val="00246665"/>
    <w:rsid w:val="00247A20"/>
    <w:rsid w:val="00251314"/>
    <w:rsid w:val="00260EA5"/>
    <w:rsid w:val="00265BD0"/>
    <w:rsid w:val="0028004C"/>
    <w:rsid w:val="00284EB7"/>
    <w:rsid w:val="0028654D"/>
    <w:rsid w:val="00287531"/>
    <w:rsid w:val="00287BA5"/>
    <w:rsid w:val="0029369E"/>
    <w:rsid w:val="002A2DB6"/>
    <w:rsid w:val="002B1713"/>
    <w:rsid w:val="002B775B"/>
    <w:rsid w:val="002C3C62"/>
    <w:rsid w:val="002C4AF5"/>
    <w:rsid w:val="002C53DD"/>
    <w:rsid w:val="002C5C67"/>
    <w:rsid w:val="002C62A1"/>
    <w:rsid w:val="002D1B27"/>
    <w:rsid w:val="002E2443"/>
    <w:rsid w:val="002E2CC9"/>
    <w:rsid w:val="002F5261"/>
    <w:rsid w:val="002F6C37"/>
    <w:rsid w:val="00302C75"/>
    <w:rsid w:val="00304A38"/>
    <w:rsid w:val="0030662E"/>
    <w:rsid w:val="0030756A"/>
    <w:rsid w:val="00311793"/>
    <w:rsid w:val="003158EB"/>
    <w:rsid w:val="00321A52"/>
    <w:rsid w:val="00323E6F"/>
    <w:rsid w:val="003278C3"/>
    <w:rsid w:val="00327F42"/>
    <w:rsid w:val="003312D4"/>
    <w:rsid w:val="003412BB"/>
    <w:rsid w:val="003440A4"/>
    <w:rsid w:val="00347759"/>
    <w:rsid w:val="00356B5B"/>
    <w:rsid w:val="003611C0"/>
    <w:rsid w:val="00372E6F"/>
    <w:rsid w:val="00374CE1"/>
    <w:rsid w:val="0037615C"/>
    <w:rsid w:val="00380B0D"/>
    <w:rsid w:val="00383718"/>
    <w:rsid w:val="003857D6"/>
    <w:rsid w:val="00386EDA"/>
    <w:rsid w:val="00393098"/>
    <w:rsid w:val="003931A6"/>
    <w:rsid w:val="00394191"/>
    <w:rsid w:val="0039555E"/>
    <w:rsid w:val="0039754F"/>
    <w:rsid w:val="003A0671"/>
    <w:rsid w:val="003A14C6"/>
    <w:rsid w:val="003A2163"/>
    <w:rsid w:val="003A5BB4"/>
    <w:rsid w:val="003B1E7E"/>
    <w:rsid w:val="003B3DCD"/>
    <w:rsid w:val="003B6991"/>
    <w:rsid w:val="003C3F58"/>
    <w:rsid w:val="003F68AF"/>
    <w:rsid w:val="00400E0B"/>
    <w:rsid w:val="004021D4"/>
    <w:rsid w:val="00402E5D"/>
    <w:rsid w:val="00403F2F"/>
    <w:rsid w:val="00424DC1"/>
    <w:rsid w:val="00427AB7"/>
    <w:rsid w:val="00427EF5"/>
    <w:rsid w:val="00432288"/>
    <w:rsid w:val="00442017"/>
    <w:rsid w:val="004454A2"/>
    <w:rsid w:val="00455129"/>
    <w:rsid w:val="00455416"/>
    <w:rsid w:val="00457F9F"/>
    <w:rsid w:val="00463FA6"/>
    <w:rsid w:val="00466E32"/>
    <w:rsid w:val="00467F61"/>
    <w:rsid w:val="00476CE8"/>
    <w:rsid w:val="00477103"/>
    <w:rsid w:val="00485FCD"/>
    <w:rsid w:val="00486486"/>
    <w:rsid w:val="00487633"/>
    <w:rsid w:val="00490007"/>
    <w:rsid w:val="004960A5"/>
    <w:rsid w:val="004A1750"/>
    <w:rsid w:val="004A6E86"/>
    <w:rsid w:val="004B1939"/>
    <w:rsid w:val="004B73D0"/>
    <w:rsid w:val="004C1133"/>
    <w:rsid w:val="004C43B9"/>
    <w:rsid w:val="004C7115"/>
    <w:rsid w:val="004D1918"/>
    <w:rsid w:val="004D4219"/>
    <w:rsid w:val="004D4520"/>
    <w:rsid w:val="004E1549"/>
    <w:rsid w:val="004E1AAF"/>
    <w:rsid w:val="004E3BE6"/>
    <w:rsid w:val="004F3F4D"/>
    <w:rsid w:val="004F40BC"/>
    <w:rsid w:val="004F541F"/>
    <w:rsid w:val="004F603C"/>
    <w:rsid w:val="005028EC"/>
    <w:rsid w:val="00502CE9"/>
    <w:rsid w:val="0050798B"/>
    <w:rsid w:val="00511C42"/>
    <w:rsid w:val="00515661"/>
    <w:rsid w:val="005159E6"/>
    <w:rsid w:val="00524D7C"/>
    <w:rsid w:val="00526C3D"/>
    <w:rsid w:val="0052707C"/>
    <w:rsid w:val="005328D6"/>
    <w:rsid w:val="005356B9"/>
    <w:rsid w:val="00544BC4"/>
    <w:rsid w:val="005500C3"/>
    <w:rsid w:val="00550543"/>
    <w:rsid w:val="00551CE9"/>
    <w:rsid w:val="005561B6"/>
    <w:rsid w:val="00556640"/>
    <w:rsid w:val="005623E6"/>
    <w:rsid w:val="00563A7F"/>
    <w:rsid w:val="00564939"/>
    <w:rsid w:val="0056795B"/>
    <w:rsid w:val="00571B50"/>
    <w:rsid w:val="00572FD2"/>
    <w:rsid w:val="00573DC5"/>
    <w:rsid w:val="00584019"/>
    <w:rsid w:val="00584295"/>
    <w:rsid w:val="005851CA"/>
    <w:rsid w:val="00585ACD"/>
    <w:rsid w:val="00585C45"/>
    <w:rsid w:val="0059214D"/>
    <w:rsid w:val="00593146"/>
    <w:rsid w:val="00594378"/>
    <w:rsid w:val="0059570E"/>
    <w:rsid w:val="005A0CD5"/>
    <w:rsid w:val="005A1A95"/>
    <w:rsid w:val="005A1EF6"/>
    <w:rsid w:val="005A37ED"/>
    <w:rsid w:val="005B1BF8"/>
    <w:rsid w:val="005B5ABA"/>
    <w:rsid w:val="005C3039"/>
    <w:rsid w:val="005C591E"/>
    <w:rsid w:val="005D091D"/>
    <w:rsid w:val="005E2410"/>
    <w:rsid w:val="005E5C7D"/>
    <w:rsid w:val="005E7FCB"/>
    <w:rsid w:val="005F1045"/>
    <w:rsid w:val="005F4312"/>
    <w:rsid w:val="005F7605"/>
    <w:rsid w:val="006064A1"/>
    <w:rsid w:val="00606EE4"/>
    <w:rsid w:val="00614B87"/>
    <w:rsid w:val="00616F15"/>
    <w:rsid w:val="0062487A"/>
    <w:rsid w:val="00626904"/>
    <w:rsid w:val="006366DE"/>
    <w:rsid w:val="006366E0"/>
    <w:rsid w:val="00636D64"/>
    <w:rsid w:val="00650B57"/>
    <w:rsid w:val="00653359"/>
    <w:rsid w:val="0065737F"/>
    <w:rsid w:val="00665E99"/>
    <w:rsid w:val="00671E4C"/>
    <w:rsid w:val="006759DB"/>
    <w:rsid w:val="006768A1"/>
    <w:rsid w:val="00683E2F"/>
    <w:rsid w:val="006870AC"/>
    <w:rsid w:val="00690122"/>
    <w:rsid w:val="006905F1"/>
    <w:rsid w:val="0069272E"/>
    <w:rsid w:val="00693E7D"/>
    <w:rsid w:val="0069420E"/>
    <w:rsid w:val="00696486"/>
    <w:rsid w:val="006977CF"/>
    <w:rsid w:val="006B631A"/>
    <w:rsid w:val="006B7A0A"/>
    <w:rsid w:val="006C4DE2"/>
    <w:rsid w:val="006D2BC1"/>
    <w:rsid w:val="006D38CA"/>
    <w:rsid w:val="006D6AF5"/>
    <w:rsid w:val="006D726D"/>
    <w:rsid w:val="006D7EB7"/>
    <w:rsid w:val="006E032A"/>
    <w:rsid w:val="006E08D6"/>
    <w:rsid w:val="006E342A"/>
    <w:rsid w:val="006E4A44"/>
    <w:rsid w:val="006E4D2F"/>
    <w:rsid w:val="006E5B34"/>
    <w:rsid w:val="006E637B"/>
    <w:rsid w:val="006F4680"/>
    <w:rsid w:val="006F52FA"/>
    <w:rsid w:val="007065C5"/>
    <w:rsid w:val="0070793C"/>
    <w:rsid w:val="00717F0E"/>
    <w:rsid w:val="007226A9"/>
    <w:rsid w:val="007248C1"/>
    <w:rsid w:val="007257A9"/>
    <w:rsid w:val="007273CB"/>
    <w:rsid w:val="00731D5A"/>
    <w:rsid w:val="00737BA4"/>
    <w:rsid w:val="00741356"/>
    <w:rsid w:val="00741A6F"/>
    <w:rsid w:val="00743CA5"/>
    <w:rsid w:val="00746A2B"/>
    <w:rsid w:val="00746D55"/>
    <w:rsid w:val="00755DC2"/>
    <w:rsid w:val="007632CF"/>
    <w:rsid w:val="00766EE3"/>
    <w:rsid w:val="00773C5F"/>
    <w:rsid w:val="007748BF"/>
    <w:rsid w:val="00777040"/>
    <w:rsid w:val="00777D34"/>
    <w:rsid w:val="00785030"/>
    <w:rsid w:val="00786273"/>
    <w:rsid w:val="00786F61"/>
    <w:rsid w:val="007A5287"/>
    <w:rsid w:val="007A598E"/>
    <w:rsid w:val="007B21C7"/>
    <w:rsid w:val="007B4142"/>
    <w:rsid w:val="007B5B67"/>
    <w:rsid w:val="007B5EAE"/>
    <w:rsid w:val="007B7169"/>
    <w:rsid w:val="007C2073"/>
    <w:rsid w:val="007C308F"/>
    <w:rsid w:val="007C45CE"/>
    <w:rsid w:val="007C6F64"/>
    <w:rsid w:val="007D29F2"/>
    <w:rsid w:val="007D2DC3"/>
    <w:rsid w:val="007D3550"/>
    <w:rsid w:val="007E628D"/>
    <w:rsid w:val="007F0A0E"/>
    <w:rsid w:val="007F7644"/>
    <w:rsid w:val="00815049"/>
    <w:rsid w:val="00816B43"/>
    <w:rsid w:val="0083279D"/>
    <w:rsid w:val="008328CD"/>
    <w:rsid w:val="008348CB"/>
    <w:rsid w:val="00841D01"/>
    <w:rsid w:val="0084534A"/>
    <w:rsid w:val="00853980"/>
    <w:rsid w:val="00855504"/>
    <w:rsid w:val="0085632E"/>
    <w:rsid w:val="0086373E"/>
    <w:rsid w:val="00872CA4"/>
    <w:rsid w:val="00874877"/>
    <w:rsid w:val="0087668E"/>
    <w:rsid w:val="00884CC1"/>
    <w:rsid w:val="008A1A57"/>
    <w:rsid w:val="008A552C"/>
    <w:rsid w:val="008A7BF0"/>
    <w:rsid w:val="008B3481"/>
    <w:rsid w:val="008B6309"/>
    <w:rsid w:val="008C3CD0"/>
    <w:rsid w:val="008C4331"/>
    <w:rsid w:val="008D1C62"/>
    <w:rsid w:val="008D3DFA"/>
    <w:rsid w:val="008D4352"/>
    <w:rsid w:val="008F0B56"/>
    <w:rsid w:val="008F1C7C"/>
    <w:rsid w:val="008F1FFD"/>
    <w:rsid w:val="008F2FF2"/>
    <w:rsid w:val="008F2FF4"/>
    <w:rsid w:val="008F60A1"/>
    <w:rsid w:val="008F62DD"/>
    <w:rsid w:val="009110E9"/>
    <w:rsid w:val="00911BB0"/>
    <w:rsid w:val="00920C10"/>
    <w:rsid w:val="009215B6"/>
    <w:rsid w:val="00921BC3"/>
    <w:rsid w:val="00922375"/>
    <w:rsid w:val="0092247E"/>
    <w:rsid w:val="0094291C"/>
    <w:rsid w:val="00944650"/>
    <w:rsid w:val="00957075"/>
    <w:rsid w:val="00957E2C"/>
    <w:rsid w:val="0097091A"/>
    <w:rsid w:val="00985775"/>
    <w:rsid w:val="00993230"/>
    <w:rsid w:val="00993C40"/>
    <w:rsid w:val="009A3C99"/>
    <w:rsid w:val="009A3FBF"/>
    <w:rsid w:val="009A5D0F"/>
    <w:rsid w:val="009B57CB"/>
    <w:rsid w:val="009B6480"/>
    <w:rsid w:val="009B72A2"/>
    <w:rsid w:val="009C0EFE"/>
    <w:rsid w:val="009D2B3A"/>
    <w:rsid w:val="009D2BE0"/>
    <w:rsid w:val="009E0AFB"/>
    <w:rsid w:val="009E3B2C"/>
    <w:rsid w:val="009F576B"/>
    <w:rsid w:val="00A037B9"/>
    <w:rsid w:val="00A041A1"/>
    <w:rsid w:val="00A06C3C"/>
    <w:rsid w:val="00A14A18"/>
    <w:rsid w:val="00A15687"/>
    <w:rsid w:val="00A16F76"/>
    <w:rsid w:val="00A22DCD"/>
    <w:rsid w:val="00A24E09"/>
    <w:rsid w:val="00A26BD1"/>
    <w:rsid w:val="00A27288"/>
    <w:rsid w:val="00A41E73"/>
    <w:rsid w:val="00A429FE"/>
    <w:rsid w:val="00A42F15"/>
    <w:rsid w:val="00A51FAE"/>
    <w:rsid w:val="00A54FA1"/>
    <w:rsid w:val="00A63A54"/>
    <w:rsid w:val="00A6497B"/>
    <w:rsid w:val="00A67B90"/>
    <w:rsid w:val="00A70C82"/>
    <w:rsid w:val="00A70ED2"/>
    <w:rsid w:val="00A802C4"/>
    <w:rsid w:val="00A973E0"/>
    <w:rsid w:val="00AA308D"/>
    <w:rsid w:val="00AB357B"/>
    <w:rsid w:val="00AC423D"/>
    <w:rsid w:val="00AC49B6"/>
    <w:rsid w:val="00AD1CF1"/>
    <w:rsid w:val="00AD28B9"/>
    <w:rsid w:val="00AD751C"/>
    <w:rsid w:val="00AE0DFC"/>
    <w:rsid w:val="00AE25E9"/>
    <w:rsid w:val="00AF0954"/>
    <w:rsid w:val="00AF4318"/>
    <w:rsid w:val="00AF75F1"/>
    <w:rsid w:val="00B01EAB"/>
    <w:rsid w:val="00B030A3"/>
    <w:rsid w:val="00B03CAB"/>
    <w:rsid w:val="00B04AF2"/>
    <w:rsid w:val="00B10191"/>
    <w:rsid w:val="00B147E8"/>
    <w:rsid w:val="00B232F5"/>
    <w:rsid w:val="00B3304F"/>
    <w:rsid w:val="00B40E49"/>
    <w:rsid w:val="00B47DA7"/>
    <w:rsid w:val="00B51FC7"/>
    <w:rsid w:val="00B52E69"/>
    <w:rsid w:val="00B56DC4"/>
    <w:rsid w:val="00B579A7"/>
    <w:rsid w:val="00B61DEE"/>
    <w:rsid w:val="00B77C8B"/>
    <w:rsid w:val="00B846E0"/>
    <w:rsid w:val="00B86064"/>
    <w:rsid w:val="00B86646"/>
    <w:rsid w:val="00B87D83"/>
    <w:rsid w:val="00B87EEC"/>
    <w:rsid w:val="00B913E3"/>
    <w:rsid w:val="00B91FD6"/>
    <w:rsid w:val="00B9508B"/>
    <w:rsid w:val="00B97794"/>
    <w:rsid w:val="00BC231C"/>
    <w:rsid w:val="00BD3EE5"/>
    <w:rsid w:val="00BD4E72"/>
    <w:rsid w:val="00BD5051"/>
    <w:rsid w:val="00BD6E73"/>
    <w:rsid w:val="00BE3E7C"/>
    <w:rsid w:val="00BE72EF"/>
    <w:rsid w:val="00C032A7"/>
    <w:rsid w:val="00C111BF"/>
    <w:rsid w:val="00C146CB"/>
    <w:rsid w:val="00C212ED"/>
    <w:rsid w:val="00C272C4"/>
    <w:rsid w:val="00C3733B"/>
    <w:rsid w:val="00C41153"/>
    <w:rsid w:val="00C41792"/>
    <w:rsid w:val="00C431F1"/>
    <w:rsid w:val="00C46CA2"/>
    <w:rsid w:val="00C52520"/>
    <w:rsid w:val="00C60353"/>
    <w:rsid w:val="00C61019"/>
    <w:rsid w:val="00C61CF1"/>
    <w:rsid w:val="00C62F60"/>
    <w:rsid w:val="00C73BC2"/>
    <w:rsid w:val="00C73D52"/>
    <w:rsid w:val="00C8200B"/>
    <w:rsid w:val="00C90450"/>
    <w:rsid w:val="00C91023"/>
    <w:rsid w:val="00C94DFA"/>
    <w:rsid w:val="00C97499"/>
    <w:rsid w:val="00CA344E"/>
    <w:rsid w:val="00CA497D"/>
    <w:rsid w:val="00CA4CEB"/>
    <w:rsid w:val="00CB2F4F"/>
    <w:rsid w:val="00CB6C35"/>
    <w:rsid w:val="00CB701E"/>
    <w:rsid w:val="00CC7769"/>
    <w:rsid w:val="00CD185F"/>
    <w:rsid w:val="00CD4852"/>
    <w:rsid w:val="00CE0E65"/>
    <w:rsid w:val="00CE1ACD"/>
    <w:rsid w:val="00CE616F"/>
    <w:rsid w:val="00D003F8"/>
    <w:rsid w:val="00D04BB8"/>
    <w:rsid w:val="00D06E2D"/>
    <w:rsid w:val="00D14345"/>
    <w:rsid w:val="00D335B3"/>
    <w:rsid w:val="00D339BE"/>
    <w:rsid w:val="00D354B7"/>
    <w:rsid w:val="00D42406"/>
    <w:rsid w:val="00D42B7D"/>
    <w:rsid w:val="00D455DC"/>
    <w:rsid w:val="00D503B9"/>
    <w:rsid w:val="00D50499"/>
    <w:rsid w:val="00D52250"/>
    <w:rsid w:val="00D55104"/>
    <w:rsid w:val="00D615EC"/>
    <w:rsid w:val="00D657DD"/>
    <w:rsid w:val="00D65FFF"/>
    <w:rsid w:val="00D66EA9"/>
    <w:rsid w:val="00D66EC0"/>
    <w:rsid w:val="00D7137C"/>
    <w:rsid w:val="00D75EFC"/>
    <w:rsid w:val="00D7774C"/>
    <w:rsid w:val="00D77D8E"/>
    <w:rsid w:val="00D8016B"/>
    <w:rsid w:val="00D82A86"/>
    <w:rsid w:val="00D84E2C"/>
    <w:rsid w:val="00D869C4"/>
    <w:rsid w:val="00D90483"/>
    <w:rsid w:val="00D92877"/>
    <w:rsid w:val="00D9726C"/>
    <w:rsid w:val="00DA5A54"/>
    <w:rsid w:val="00DB0287"/>
    <w:rsid w:val="00DB4AD4"/>
    <w:rsid w:val="00DB6716"/>
    <w:rsid w:val="00DC033C"/>
    <w:rsid w:val="00DC54D6"/>
    <w:rsid w:val="00DE7D95"/>
    <w:rsid w:val="00DF0CC6"/>
    <w:rsid w:val="00DF2953"/>
    <w:rsid w:val="00E00618"/>
    <w:rsid w:val="00E04E80"/>
    <w:rsid w:val="00E05488"/>
    <w:rsid w:val="00E16C9B"/>
    <w:rsid w:val="00E22605"/>
    <w:rsid w:val="00E2328F"/>
    <w:rsid w:val="00E27D5E"/>
    <w:rsid w:val="00E3039A"/>
    <w:rsid w:val="00E31DE6"/>
    <w:rsid w:val="00E34385"/>
    <w:rsid w:val="00E36509"/>
    <w:rsid w:val="00E40D0E"/>
    <w:rsid w:val="00E45CA4"/>
    <w:rsid w:val="00E504B2"/>
    <w:rsid w:val="00E53E48"/>
    <w:rsid w:val="00E567A7"/>
    <w:rsid w:val="00E641F7"/>
    <w:rsid w:val="00E67FF9"/>
    <w:rsid w:val="00E70A6B"/>
    <w:rsid w:val="00E72E7F"/>
    <w:rsid w:val="00E756E7"/>
    <w:rsid w:val="00E77D96"/>
    <w:rsid w:val="00E860DA"/>
    <w:rsid w:val="00E97A69"/>
    <w:rsid w:val="00EA1E1E"/>
    <w:rsid w:val="00EA22B3"/>
    <w:rsid w:val="00EB22FE"/>
    <w:rsid w:val="00EB2A01"/>
    <w:rsid w:val="00EB4732"/>
    <w:rsid w:val="00EB58CA"/>
    <w:rsid w:val="00EC5550"/>
    <w:rsid w:val="00ED4EEF"/>
    <w:rsid w:val="00EE05F3"/>
    <w:rsid w:val="00EF20E7"/>
    <w:rsid w:val="00F020CA"/>
    <w:rsid w:val="00F072C4"/>
    <w:rsid w:val="00F1188E"/>
    <w:rsid w:val="00F11918"/>
    <w:rsid w:val="00F11E19"/>
    <w:rsid w:val="00F138C2"/>
    <w:rsid w:val="00F13F4B"/>
    <w:rsid w:val="00F22FC8"/>
    <w:rsid w:val="00F246D2"/>
    <w:rsid w:val="00F257A0"/>
    <w:rsid w:val="00F27116"/>
    <w:rsid w:val="00F31AA9"/>
    <w:rsid w:val="00F4093A"/>
    <w:rsid w:val="00F45097"/>
    <w:rsid w:val="00F51811"/>
    <w:rsid w:val="00F5603C"/>
    <w:rsid w:val="00F571DE"/>
    <w:rsid w:val="00F57C89"/>
    <w:rsid w:val="00F668A3"/>
    <w:rsid w:val="00F67BFF"/>
    <w:rsid w:val="00F91DF8"/>
    <w:rsid w:val="00F934AC"/>
    <w:rsid w:val="00F96BC9"/>
    <w:rsid w:val="00FA282D"/>
    <w:rsid w:val="00FA2D19"/>
    <w:rsid w:val="00FA584F"/>
    <w:rsid w:val="00FA719A"/>
    <w:rsid w:val="00FA79C7"/>
    <w:rsid w:val="00FB04B7"/>
    <w:rsid w:val="00FB20DF"/>
    <w:rsid w:val="00FD23C7"/>
    <w:rsid w:val="00FD3E5F"/>
    <w:rsid w:val="00FD5600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  <w:style w:type="character" w:customStyle="1" w:styleId="KopfzeileZchn1">
    <w:name w:val="Kopfzeile Zchn1"/>
    <w:semiHidden/>
    <w:locked/>
    <w:rsid w:val="00240D8A"/>
    <w:rPr>
      <w:rFonts w:ascii="TKTypeRegular" w:eastAsia="Times New Roman" w:hAnsi="TKTypeRegular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  <w:style w:type="character" w:customStyle="1" w:styleId="KopfzeileZchn1">
    <w:name w:val="Kopfzeile Zchn1"/>
    <w:semiHidden/>
    <w:locked/>
    <w:rsid w:val="00240D8A"/>
    <w:rPr>
      <w:rFonts w:ascii="TKTypeRegular" w:eastAsia="Times New Roman" w:hAnsi="TKTypeRegular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thyssenkrupp-Steel.com/ecmlogin/proweld_register.d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516A-5344-4A01-801B-78E690CC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Mark Stagge</cp:lastModifiedBy>
  <cp:revision>3</cp:revision>
  <cp:lastPrinted>2017-02-20T09:27:00Z</cp:lastPrinted>
  <dcterms:created xsi:type="dcterms:W3CDTF">2017-02-23T11:27:00Z</dcterms:created>
  <dcterms:modified xsi:type="dcterms:W3CDTF">2017-02-23T12:36:00Z</dcterms:modified>
</cp:coreProperties>
</file>