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D86ED4" w:rsidTr="008D3DFA">
        <w:trPr>
          <w:trHeight w:val="45"/>
        </w:trPr>
        <w:tc>
          <w:tcPr>
            <w:tcW w:w="7655" w:type="dxa"/>
          </w:tcPr>
          <w:p w:rsidR="008D3DFA" w:rsidRPr="008248EB" w:rsidRDefault="008D3DFA" w:rsidP="007C0B66">
            <w:pPr>
              <w:jc w:val="both"/>
              <w:rPr>
                <w:rFonts w:ascii="TKTypeRegular" w:hAnsi="TKTypeRegular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24" w:type="dxa"/>
          </w:tcPr>
          <w:p w:rsidR="008D3DFA" w:rsidRPr="008248EB" w:rsidRDefault="00EB4732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>Steel</w:t>
            </w:r>
            <w:r w:rsidR="00CE7E29" w:rsidRPr="008248EB">
              <w:rPr>
                <w:rFonts w:ascii="TKTypeRegular" w:hAnsi="TKTypeRegular"/>
                <w:szCs w:val="14"/>
              </w:rPr>
              <w:t xml:space="preserve"> Europe</w:t>
            </w:r>
          </w:p>
        </w:tc>
      </w:tr>
      <w:tr w:rsidR="001E7E0A" w:rsidRPr="00D86ED4" w:rsidTr="001E7E0A">
        <w:trPr>
          <w:trHeight w:val="408"/>
        </w:trPr>
        <w:tc>
          <w:tcPr>
            <w:tcW w:w="7655" w:type="dxa"/>
          </w:tcPr>
          <w:p w:rsidR="001E7E0A" w:rsidRPr="008248EB" w:rsidRDefault="001E7E0A" w:rsidP="007C0B66">
            <w:pPr>
              <w:jc w:val="both"/>
              <w:rPr>
                <w:rFonts w:ascii="TKTypeRegular" w:hAnsi="TKTypeRegular"/>
                <w:sz w:val="14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1E7E0A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</w:p>
        </w:tc>
      </w:tr>
      <w:tr w:rsidR="001E7E0A" w:rsidRPr="00D86ED4" w:rsidTr="001E7E0A">
        <w:trPr>
          <w:trHeight w:val="992"/>
        </w:trPr>
        <w:tc>
          <w:tcPr>
            <w:tcW w:w="7655" w:type="dxa"/>
          </w:tcPr>
          <w:p w:rsidR="001E7E0A" w:rsidRPr="008248EB" w:rsidRDefault="001E7E0A" w:rsidP="007C0B66">
            <w:pPr>
              <w:pStyle w:val="Absenderadresse"/>
              <w:jc w:val="both"/>
              <w:rPr>
                <w:rFonts w:ascii="TKTypeRegular" w:hAnsi="TKTypeRegular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5F2F66" w:rsidP="007C0B66">
            <w:pPr>
              <w:pStyle w:val="Datumsangabe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>18</w:t>
            </w:r>
            <w:r w:rsidR="002C46CC" w:rsidRPr="008248EB">
              <w:rPr>
                <w:rFonts w:ascii="TKTypeRegular" w:hAnsi="TKTypeRegular"/>
                <w:szCs w:val="14"/>
              </w:rPr>
              <w:t>.12</w:t>
            </w:r>
            <w:r w:rsidR="005D091D" w:rsidRPr="008248EB">
              <w:rPr>
                <w:rFonts w:ascii="TKTypeRegular" w:hAnsi="TKTypeRegular"/>
                <w:szCs w:val="14"/>
              </w:rPr>
              <w:t>.2015</w:t>
            </w:r>
          </w:p>
          <w:p w:rsidR="001E7E0A" w:rsidRPr="008248EB" w:rsidRDefault="001E7E0A" w:rsidP="007C0B66">
            <w:pPr>
              <w:pStyle w:val="Seitenzahlangabe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 xml:space="preserve">Seite </w:t>
            </w:r>
            <w:r w:rsidRPr="008248EB">
              <w:rPr>
                <w:rFonts w:ascii="TKTypeRegular" w:hAnsi="TKTypeRegular"/>
                <w:szCs w:val="14"/>
              </w:rPr>
              <w:fldChar w:fldCharType="begin"/>
            </w:r>
            <w:r w:rsidRPr="008248EB">
              <w:rPr>
                <w:rFonts w:ascii="TKTypeRegular" w:hAnsi="TKTypeRegular"/>
                <w:szCs w:val="14"/>
              </w:rPr>
              <w:instrText xml:space="preserve"> PAGE   \* MERGEFORMAT </w:instrText>
            </w:r>
            <w:r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E2367D" w:rsidRPr="008248EB">
              <w:rPr>
                <w:rFonts w:ascii="TKTypeRegular" w:hAnsi="TKTypeRegular"/>
                <w:noProof/>
                <w:szCs w:val="14"/>
              </w:rPr>
              <w:t>1</w:t>
            </w:r>
            <w:r w:rsidRPr="008248EB">
              <w:rPr>
                <w:rFonts w:ascii="TKTypeRegular" w:hAnsi="TKTypeRegular"/>
                <w:szCs w:val="14"/>
              </w:rPr>
              <w:fldChar w:fldCharType="end"/>
            </w:r>
            <w:r w:rsidRPr="008248EB">
              <w:rPr>
                <w:rFonts w:ascii="TKTypeRegular" w:hAnsi="TKTypeRegular"/>
                <w:szCs w:val="14"/>
              </w:rPr>
              <w:t>/</w:t>
            </w:r>
            <w:r w:rsidR="00473201" w:rsidRPr="008248EB">
              <w:rPr>
                <w:rFonts w:ascii="TKTypeRegular" w:hAnsi="TKTypeRegular"/>
                <w:szCs w:val="14"/>
              </w:rPr>
              <w:fldChar w:fldCharType="begin"/>
            </w:r>
            <w:r w:rsidR="00473201" w:rsidRPr="008248EB">
              <w:rPr>
                <w:rFonts w:ascii="TKTypeRegular" w:hAnsi="TKTypeRegular"/>
                <w:szCs w:val="14"/>
              </w:rPr>
              <w:instrText xml:space="preserve"> NUMPAGES   \* MERGEFORMAT </w:instrText>
            </w:r>
            <w:r w:rsidR="00473201"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E2367D" w:rsidRPr="008248EB">
              <w:rPr>
                <w:rFonts w:ascii="TKTypeRegular" w:hAnsi="TKTypeRegular"/>
                <w:noProof/>
                <w:szCs w:val="14"/>
              </w:rPr>
              <w:t>2</w:t>
            </w:r>
            <w:r w:rsidR="00473201" w:rsidRPr="008248EB">
              <w:rPr>
                <w:rFonts w:ascii="TKTypeRegular" w:hAnsi="TKTypeRegular"/>
                <w:noProof/>
                <w:szCs w:val="14"/>
              </w:rPr>
              <w:fldChar w:fldCharType="end"/>
            </w:r>
          </w:p>
        </w:tc>
      </w:tr>
    </w:tbl>
    <w:p w:rsidR="00F4093A" w:rsidRPr="006B2DFC" w:rsidRDefault="00F4093A" w:rsidP="007C0B66">
      <w:pPr>
        <w:jc w:val="both"/>
        <w:rPr>
          <w:rFonts w:ascii="TKTypeRegular" w:hAnsi="TKTypeRegular"/>
          <w:color w:val="auto"/>
          <w:sz w:val="22"/>
        </w:rPr>
      </w:pPr>
    </w:p>
    <w:p w:rsidR="00B57110" w:rsidRPr="006B2DFC" w:rsidRDefault="00325899" w:rsidP="007C0B66">
      <w:pPr>
        <w:spacing w:line="360" w:lineRule="auto"/>
        <w:jc w:val="both"/>
        <w:rPr>
          <w:rFonts w:ascii="TKTypeRegular" w:hAnsi="TKTypeRegular"/>
          <w:b/>
          <w:color w:val="auto"/>
          <w:sz w:val="22"/>
        </w:rPr>
      </w:pPr>
      <w:r w:rsidRPr="006B2DFC">
        <w:rPr>
          <w:rFonts w:ascii="TKTypeRegular" w:hAnsi="TKTypeRegular"/>
          <w:b/>
          <w:color w:val="auto"/>
          <w:sz w:val="22"/>
        </w:rPr>
        <w:t>Auf die richtige Mischung kommt es an</w:t>
      </w:r>
      <w:r w:rsidR="007C0B66" w:rsidRPr="006B2DFC">
        <w:rPr>
          <w:rFonts w:ascii="TKTypeRegular" w:hAnsi="TKTypeRegular"/>
          <w:b/>
          <w:color w:val="auto"/>
          <w:sz w:val="22"/>
        </w:rPr>
        <w:t xml:space="preserve">: thyssenkrupp </w:t>
      </w:r>
      <w:r w:rsidR="00870C4F" w:rsidRPr="006B2DFC">
        <w:rPr>
          <w:rFonts w:ascii="TKTypeRegular" w:hAnsi="TKTypeRegular"/>
          <w:b/>
          <w:color w:val="auto"/>
          <w:sz w:val="22"/>
        </w:rPr>
        <w:t>nimmt in Duisburg weltweit einzigartig</w:t>
      </w:r>
      <w:r w:rsidR="00752059">
        <w:rPr>
          <w:rFonts w:ascii="TKTypeRegular" w:hAnsi="TKTypeRegular"/>
          <w:b/>
          <w:color w:val="auto"/>
          <w:sz w:val="22"/>
        </w:rPr>
        <w:t>e,</w:t>
      </w:r>
      <w:r w:rsidR="00870C4F" w:rsidRPr="006B2DFC">
        <w:rPr>
          <w:rFonts w:ascii="TKTypeRegular" w:hAnsi="TKTypeRegular"/>
          <w:b/>
          <w:color w:val="auto"/>
          <w:sz w:val="22"/>
        </w:rPr>
        <w:t xml:space="preserve"> </w:t>
      </w:r>
      <w:r w:rsidR="005808AA" w:rsidRPr="006B2DFC">
        <w:rPr>
          <w:rFonts w:ascii="TKTypeRegular" w:hAnsi="TKTypeRegular"/>
          <w:b/>
          <w:color w:val="auto"/>
          <w:sz w:val="22"/>
        </w:rPr>
        <w:t xml:space="preserve">automatisierte </w:t>
      </w:r>
      <w:r w:rsidR="00B57110" w:rsidRPr="006B2DFC">
        <w:rPr>
          <w:rFonts w:ascii="TKTypeRegular" w:hAnsi="TKTypeRegular"/>
          <w:b/>
          <w:color w:val="auto"/>
          <w:sz w:val="22"/>
        </w:rPr>
        <w:t xml:space="preserve">Sinterversuchsanlage </w:t>
      </w:r>
      <w:r w:rsidR="00870C4F" w:rsidRPr="006B2DFC">
        <w:rPr>
          <w:rFonts w:ascii="TKTypeRegular" w:hAnsi="TKTypeRegular"/>
          <w:b/>
          <w:color w:val="auto"/>
          <w:sz w:val="22"/>
        </w:rPr>
        <w:t>in Betrieb</w:t>
      </w:r>
    </w:p>
    <w:p w:rsidR="00B57110" w:rsidRPr="006B2DFC" w:rsidRDefault="00B57110" w:rsidP="007C0B66">
      <w:pPr>
        <w:spacing w:line="360" w:lineRule="auto"/>
        <w:jc w:val="both"/>
        <w:rPr>
          <w:rFonts w:ascii="TKTypeRegular" w:hAnsi="TKTypeRegular"/>
          <w:b/>
          <w:noProof/>
          <w:color w:val="auto"/>
          <w:sz w:val="22"/>
          <w:lang w:val="de-AT" w:eastAsia="de-AT"/>
        </w:rPr>
      </w:pPr>
    </w:p>
    <w:p w:rsidR="00AD6DCC" w:rsidRPr="008248EB" w:rsidRDefault="00870C4F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  <w:r w:rsidRPr="008248EB">
        <w:rPr>
          <w:rFonts w:asciiTheme="majorHAnsi" w:hAnsiTheme="majorHAnsi"/>
          <w:color w:val="auto"/>
          <w:szCs w:val="20"/>
          <w:lang w:val="de-AT"/>
        </w:rPr>
        <w:t>U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nterschiedliche Rohstoffe </w:t>
      </w:r>
      <w:r w:rsidRPr="008248EB">
        <w:rPr>
          <w:rFonts w:asciiTheme="majorHAnsi" w:hAnsiTheme="majorHAnsi"/>
          <w:color w:val="auto"/>
          <w:szCs w:val="20"/>
          <w:lang w:val="de-AT"/>
        </w:rPr>
        <w:t xml:space="preserve">besonders effizient einzusetzen 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und </w:t>
      </w:r>
      <w:r w:rsidRPr="008248EB">
        <w:rPr>
          <w:rFonts w:asciiTheme="majorHAnsi" w:hAnsiTheme="majorHAnsi"/>
          <w:color w:val="auto"/>
          <w:szCs w:val="20"/>
          <w:lang w:val="de-AT"/>
        </w:rPr>
        <w:t xml:space="preserve">dadurch eine optimierte und umweltverträgliche Zusammensetzung in der 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Stahlproduktion </w:t>
      </w:r>
      <w:r w:rsidRPr="008248EB">
        <w:rPr>
          <w:rFonts w:asciiTheme="majorHAnsi" w:hAnsiTheme="majorHAnsi"/>
          <w:color w:val="auto"/>
          <w:szCs w:val="20"/>
          <w:lang w:val="de-AT"/>
        </w:rPr>
        <w:t xml:space="preserve">zu 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erzielen – das ist jetzt bei thyssenkrupp in Duisburg möglich. 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Nach mehrjähriger Forschungsarbeit 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>hat Steel Europe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 eine weltweit einzigartig</w:t>
      </w:r>
      <w:r w:rsidR="00752059">
        <w:rPr>
          <w:rFonts w:asciiTheme="majorHAnsi" w:hAnsiTheme="majorHAnsi"/>
          <w:color w:val="auto"/>
          <w:szCs w:val="20"/>
          <w:lang w:val="de-AT"/>
        </w:rPr>
        <w:t>e,</w:t>
      </w:r>
      <w:bookmarkStart w:id="0" w:name="_GoBack"/>
      <w:bookmarkEnd w:id="0"/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 xml:space="preserve">automatisierte 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Sinterversuchsanlage 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>in Betrieb genommen, mit der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en Hilfe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 xml:space="preserve"> zukünftig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 xml:space="preserve">auch 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>Emissionen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 xml:space="preserve"> der betrieblichen Sinteranlage reduziert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 xml:space="preserve"> werden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so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l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len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>.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Ziel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 xml:space="preserve">des Stahlherstellers ist es, mit 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>der versuchsweisen Sinterproduktion</w:t>
      </w:r>
      <w:r w:rsidR="004603B0" w:rsidRPr="008248EB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 xml:space="preserve">sich auf 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das Problem 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schwankende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r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 xml:space="preserve"> Rohstoffqualitäten </w:t>
      </w:r>
      <w:r w:rsidR="005808AA" w:rsidRPr="008248EB">
        <w:rPr>
          <w:rFonts w:asciiTheme="majorHAnsi" w:hAnsiTheme="majorHAnsi"/>
          <w:color w:val="auto"/>
          <w:szCs w:val="20"/>
          <w:lang w:val="de-AT"/>
        </w:rPr>
        <w:t>einstellen zu können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 xml:space="preserve">: „Mit der Anlage </w:t>
      </w:r>
      <w:r w:rsidR="004C5A02" w:rsidRPr="008248EB">
        <w:rPr>
          <w:rFonts w:asciiTheme="majorHAnsi" w:hAnsiTheme="majorHAnsi"/>
          <w:color w:val="auto"/>
          <w:szCs w:val="20"/>
          <w:lang w:val="de-AT"/>
        </w:rPr>
        <w:t xml:space="preserve">versuchen wir frühzeitig 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 xml:space="preserve">auf die weltweiten Veränderungen von Erzqualitäten </w:t>
      </w:r>
      <w:r w:rsidR="004C5A02" w:rsidRPr="008248EB">
        <w:rPr>
          <w:rFonts w:asciiTheme="majorHAnsi" w:hAnsiTheme="majorHAnsi"/>
          <w:color w:val="auto"/>
          <w:szCs w:val="20"/>
          <w:lang w:val="de-AT"/>
        </w:rPr>
        <w:t xml:space="preserve">zu reagieren 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und flexibel Schwankungen aus</w:t>
      </w:r>
      <w:r w:rsidR="004C5A02" w:rsidRPr="008248EB">
        <w:rPr>
          <w:rFonts w:asciiTheme="majorHAnsi" w:hAnsiTheme="majorHAnsi"/>
          <w:color w:val="auto"/>
          <w:szCs w:val="20"/>
          <w:lang w:val="de-AT"/>
        </w:rPr>
        <w:t>zu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gleichen</w:t>
      </w:r>
      <w:r w:rsidR="00E40C1C" w:rsidRPr="008248EB">
        <w:rPr>
          <w:rFonts w:asciiTheme="majorHAnsi" w:hAnsiTheme="majorHAnsi"/>
          <w:color w:val="auto"/>
          <w:szCs w:val="20"/>
          <w:lang w:val="de-AT"/>
        </w:rPr>
        <w:t>. Durch die vollständige Digitalisierung der Versuchsproze</w:t>
      </w:r>
      <w:r w:rsidR="00E40C1C" w:rsidRPr="008248EB">
        <w:rPr>
          <w:rFonts w:asciiTheme="majorHAnsi" w:hAnsiTheme="majorHAnsi"/>
          <w:color w:val="auto"/>
          <w:szCs w:val="20"/>
          <w:lang w:val="de-AT"/>
        </w:rPr>
        <w:t>s</w:t>
      </w:r>
      <w:r w:rsidR="00E40C1C" w:rsidRPr="008248EB">
        <w:rPr>
          <w:rFonts w:asciiTheme="majorHAnsi" w:hAnsiTheme="majorHAnsi"/>
          <w:color w:val="auto"/>
          <w:szCs w:val="20"/>
          <w:lang w:val="de-AT"/>
        </w:rPr>
        <w:t xml:space="preserve">ses haben wir nicht nur </w:t>
      </w:r>
      <w:r w:rsidR="00D86ED4" w:rsidRPr="008248EB">
        <w:rPr>
          <w:rFonts w:asciiTheme="majorHAnsi" w:hAnsiTheme="majorHAnsi"/>
          <w:color w:val="auto"/>
          <w:szCs w:val="20"/>
          <w:lang w:val="de-AT"/>
        </w:rPr>
        <w:t xml:space="preserve">exakte </w:t>
      </w:r>
      <w:r w:rsidR="00A31A33" w:rsidRPr="008248EB">
        <w:rPr>
          <w:rFonts w:asciiTheme="majorHAnsi" w:hAnsiTheme="majorHAnsi"/>
          <w:color w:val="auto"/>
          <w:szCs w:val="20"/>
          <w:lang w:val="de-AT"/>
        </w:rPr>
        <w:t>Qualitätskennzahlen,</w:t>
      </w:r>
      <w:r w:rsidR="00E40C1C" w:rsidRPr="008248EB">
        <w:rPr>
          <w:rFonts w:asciiTheme="majorHAnsi" w:hAnsiTheme="majorHAnsi"/>
          <w:color w:val="auto"/>
          <w:szCs w:val="20"/>
          <w:lang w:val="de-AT"/>
        </w:rPr>
        <w:t xml:space="preserve"> sondern g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leichzeitig den Emissionsg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e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>halt der Einsatzstoffe im Blick“, sagt Dr. Urban Janhsen, Leiter des Teams „Technologie Erz und Eisen“</w:t>
      </w:r>
      <w:r w:rsidR="00105DCB" w:rsidRPr="008248EB">
        <w:rPr>
          <w:rFonts w:asciiTheme="majorHAnsi" w:hAnsiTheme="majorHAnsi"/>
          <w:color w:val="auto"/>
          <w:szCs w:val="20"/>
          <w:lang w:val="de-AT"/>
        </w:rPr>
        <w:t xml:space="preserve"> bei der thyssenkrupp Steel Europe AG</w:t>
      </w:r>
      <w:r w:rsidR="00B14151" w:rsidRPr="008248EB">
        <w:rPr>
          <w:rFonts w:asciiTheme="majorHAnsi" w:hAnsiTheme="majorHAnsi"/>
          <w:color w:val="auto"/>
          <w:szCs w:val="20"/>
          <w:lang w:val="de-AT"/>
        </w:rPr>
        <w:t xml:space="preserve">. </w:t>
      </w:r>
      <w:r w:rsidR="007C0B66" w:rsidRPr="008248EB">
        <w:rPr>
          <w:rFonts w:asciiTheme="majorHAnsi" w:hAnsiTheme="majorHAnsi"/>
          <w:color w:val="auto"/>
          <w:szCs w:val="20"/>
          <w:lang w:val="de-AT"/>
        </w:rPr>
        <w:t>Mit der Versuchsanlage kann in kleinen Chargen getestet werden, wie sich Rohstoffe in der Massenproduktion verhalten werden.</w:t>
      </w:r>
    </w:p>
    <w:p w:rsidR="00AD6DCC" w:rsidRPr="008248EB" w:rsidRDefault="00AD6DCC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A31A33" w:rsidRPr="008248EB" w:rsidRDefault="00B813CB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  <w:r w:rsidRPr="008248EB">
        <w:rPr>
          <w:rFonts w:asciiTheme="majorHAnsi" w:hAnsiTheme="majorHAnsi"/>
          <w:color w:val="auto"/>
          <w:szCs w:val="20"/>
          <w:lang w:val="de-AT"/>
        </w:rPr>
        <w:t xml:space="preserve">Beim Sintern wird das feinkörnige Eisenerz mit anderen Stoffen vermengt, stark erhitzt und </w:t>
      </w:r>
      <w:r w:rsidR="004C5A02" w:rsidRPr="008248EB">
        <w:rPr>
          <w:rFonts w:asciiTheme="majorHAnsi" w:hAnsiTheme="majorHAnsi"/>
          <w:color w:val="auto"/>
          <w:szCs w:val="20"/>
          <w:lang w:val="de-AT"/>
        </w:rPr>
        <w:t xml:space="preserve">durch </w:t>
      </w:r>
      <w:proofErr w:type="spellStart"/>
      <w:r w:rsidR="004C5A02" w:rsidRPr="008248EB">
        <w:rPr>
          <w:rFonts w:asciiTheme="majorHAnsi" w:hAnsiTheme="majorHAnsi"/>
          <w:color w:val="auto"/>
          <w:szCs w:val="20"/>
          <w:lang w:val="de-AT"/>
        </w:rPr>
        <w:t>Anschmelzen</w:t>
      </w:r>
      <w:proofErr w:type="spellEnd"/>
      <w:r w:rsidR="004C5A02" w:rsidRPr="008248EB">
        <w:rPr>
          <w:rFonts w:asciiTheme="majorHAnsi" w:hAnsiTheme="majorHAnsi"/>
          <w:color w:val="auto"/>
          <w:szCs w:val="20"/>
          <w:lang w:val="de-AT"/>
        </w:rPr>
        <w:t xml:space="preserve"> der Erzkornränder </w:t>
      </w:r>
      <w:r w:rsidRPr="008248EB">
        <w:rPr>
          <w:rFonts w:asciiTheme="majorHAnsi" w:hAnsiTheme="majorHAnsi"/>
          <w:color w:val="auto"/>
          <w:szCs w:val="20"/>
          <w:lang w:val="de-AT"/>
        </w:rPr>
        <w:t>zu größeren Stücken zusammengebacken. Die Br</w:t>
      </w:r>
      <w:r w:rsidRPr="008248EB">
        <w:rPr>
          <w:rFonts w:asciiTheme="majorHAnsi" w:hAnsiTheme="majorHAnsi"/>
          <w:color w:val="auto"/>
          <w:szCs w:val="20"/>
          <w:lang w:val="de-AT"/>
        </w:rPr>
        <w:t>o</w:t>
      </w:r>
      <w:r w:rsidRPr="008248EB">
        <w:rPr>
          <w:rFonts w:asciiTheme="majorHAnsi" w:hAnsiTheme="majorHAnsi"/>
          <w:color w:val="auto"/>
          <w:szCs w:val="20"/>
          <w:lang w:val="de-AT"/>
        </w:rPr>
        <w:t>ckenform des so genannten Sinterkuchens ist für die Produktion von Roheisen im H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 xml:space="preserve">ochofen </w:t>
      </w:r>
      <w:r w:rsidR="00AD6DCC" w:rsidRPr="008248EB">
        <w:rPr>
          <w:rFonts w:asciiTheme="majorHAnsi" w:hAnsiTheme="majorHAnsi"/>
          <w:color w:val="auto"/>
          <w:szCs w:val="20"/>
          <w:lang w:val="de-AT"/>
        </w:rPr>
        <w:t>erforderlich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 xml:space="preserve">. </w:t>
      </w:r>
      <w:r w:rsidR="00D86ED4" w:rsidRPr="008248EB">
        <w:rPr>
          <w:rFonts w:asciiTheme="majorHAnsi" w:hAnsiTheme="majorHAnsi"/>
          <w:color w:val="auto"/>
          <w:szCs w:val="20"/>
          <w:lang w:val="de-AT"/>
        </w:rPr>
        <w:t>Für die tägliche Massenproduktion von Sinter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 xml:space="preserve"> können mithilfe der Versuchsa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>n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 xml:space="preserve">lage </w:t>
      </w:r>
      <w:r w:rsidR="00D86ED4" w:rsidRPr="008248EB">
        <w:rPr>
          <w:rFonts w:asciiTheme="majorHAnsi" w:hAnsiTheme="majorHAnsi"/>
          <w:color w:val="auto"/>
          <w:szCs w:val="20"/>
          <w:lang w:val="de-AT"/>
        </w:rPr>
        <w:t xml:space="preserve">im Forschungsbereich 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>binnen weniger Stun</w:t>
      </w:r>
      <w:r w:rsidR="00D86ED4" w:rsidRPr="008248EB">
        <w:rPr>
          <w:rFonts w:asciiTheme="majorHAnsi" w:hAnsiTheme="majorHAnsi"/>
          <w:color w:val="auto"/>
          <w:szCs w:val="20"/>
          <w:lang w:val="de-AT"/>
        </w:rPr>
        <w:t xml:space="preserve">den </w:t>
      </w:r>
      <w:r w:rsidR="00A62FFD" w:rsidRPr="008248EB">
        <w:rPr>
          <w:rFonts w:asciiTheme="majorHAnsi" w:hAnsiTheme="majorHAnsi"/>
          <w:color w:val="auto"/>
          <w:szCs w:val="20"/>
          <w:lang w:val="de-AT"/>
        </w:rPr>
        <w:t xml:space="preserve">exakte Vorhersagen über optimale Mischverhältnisse der Einsatzstoffe getroffen werden. </w:t>
      </w:r>
      <w:r w:rsidR="00A31A33" w:rsidRPr="008248EB">
        <w:rPr>
          <w:rFonts w:asciiTheme="majorHAnsi" w:hAnsiTheme="majorHAnsi"/>
          <w:color w:val="auto"/>
          <w:szCs w:val="20"/>
          <w:lang w:val="de-AT"/>
        </w:rPr>
        <w:t>Vo</w:t>
      </w:r>
      <w:r w:rsidR="005F147F" w:rsidRPr="008248EB">
        <w:rPr>
          <w:rFonts w:asciiTheme="majorHAnsi" w:hAnsiTheme="majorHAnsi"/>
          <w:color w:val="auto"/>
          <w:szCs w:val="20"/>
          <w:lang w:val="de-AT"/>
        </w:rPr>
        <w:t>m Wiegen der Probe vor der Unte</w:t>
      </w:r>
      <w:r w:rsidR="005F147F" w:rsidRPr="008248EB">
        <w:rPr>
          <w:rFonts w:asciiTheme="majorHAnsi" w:hAnsiTheme="majorHAnsi"/>
          <w:color w:val="auto"/>
          <w:szCs w:val="20"/>
          <w:lang w:val="de-AT"/>
        </w:rPr>
        <w:t>r</w:t>
      </w:r>
      <w:r w:rsidR="005F147F" w:rsidRPr="008248EB">
        <w:rPr>
          <w:rFonts w:asciiTheme="majorHAnsi" w:hAnsiTheme="majorHAnsi"/>
          <w:color w:val="auto"/>
          <w:szCs w:val="20"/>
          <w:lang w:val="de-AT"/>
        </w:rPr>
        <w:t>suchung</w:t>
      </w:r>
      <w:r w:rsidR="00A31A33" w:rsidRPr="008248EB">
        <w:rPr>
          <w:rFonts w:asciiTheme="majorHAnsi" w:hAnsiTheme="majorHAnsi"/>
          <w:color w:val="auto"/>
          <w:szCs w:val="20"/>
          <w:lang w:val="de-AT"/>
        </w:rPr>
        <w:t xml:space="preserve"> bis zur Prüfung des fertigen Sinters übernimmt ein Roboter alle Füll- und Tran</w:t>
      </w:r>
      <w:r w:rsidR="00A31A33" w:rsidRPr="008248EB">
        <w:rPr>
          <w:rFonts w:asciiTheme="majorHAnsi" w:hAnsiTheme="majorHAnsi"/>
          <w:color w:val="auto"/>
          <w:szCs w:val="20"/>
          <w:lang w:val="de-AT"/>
        </w:rPr>
        <w:t>s</w:t>
      </w:r>
      <w:r w:rsidR="00A31A33" w:rsidRPr="008248EB">
        <w:rPr>
          <w:rFonts w:asciiTheme="majorHAnsi" w:hAnsiTheme="majorHAnsi"/>
          <w:color w:val="auto"/>
          <w:szCs w:val="20"/>
          <w:lang w:val="de-AT"/>
        </w:rPr>
        <w:t xml:space="preserve">portschritte. </w:t>
      </w:r>
      <w:r w:rsidR="005F147F" w:rsidRPr="008248EB">
        <w:rPr>
          <w:rFonts w:asciiTheme="majorHAnsi" w:hAnsiTheme="majorHAnsi"/>
          <w:color w:val="auto"/>
          <w:szCs w:val="20"/>
          <w:lang w:val="de-AT"/>
        </w:rPr>
        <w:t xml:space="preserve">Zudem </w:t>
      </w:r>
      <w:r w:rsidR="005F147F" w:rsidRPr="008248EB">
        <w:rPr>
          <w:rFonts w:asciiTheme="majorHAnsi" w:hAnsiTheme="majorHAnsi"/>
          <w:color w:val="auto"/>
          <w:szCs w:val="20"/>
        </w:rPr>
        <w:t>bietet die Anlage f</w:t>
      </w:r>
      <w:r w:rsidR="00A31A33" w:rsidRPr="008248EB">
        <w:rPr>
          <w:rFonts w:asciiTheme="majorHAnsi" w:hAnsiTheme="majorHAnsi"/>
          <w:color w:val="auto"/>
          <w:szCs w:val="20"/>
        </w:rPr>
        <w:t>ür ältere oder leistungseingeschränkte</w:t>
      </w:r>
      <w:r w:rsidR="007C0B66" w:rsidRPr="008248EB">
        <w:rPr>
          <w:rFonts w:asciiTheme="majorHAnsi" w:hAnsiTheme="majorHAnsi"/>
          <w:color w:val="auto"/>
          <w:szCs w:val="20"/>
        </w:rPr>
        <w:t xml:space="preserve"> </w:t>
      </w:r>
      <w:r w:rsidR="005F147F" w:rsidRPr="008248EB">
        <w:rPr>
          <w:rFonts w:asciiTheme="majorHAnsi" w:hAnsiTheme="majorHAnsi"/>
          <w:color w:val="auto"/>
          <w:szCs w:val="20"/>
        </w:rPr>
        <w:t>Mitarbeiter</w:t>
      </w:r>
      <w:r w:rsidR="007C0B66" w:rsidRPr="008248EB">
        <w:rPr>
          <w:rFonts w:asciiTheme="majorHAnsi" w:hAnsiTheme="majorHAnsi"/>
          <w:color w:val="auto"/>
          <w:szCs w:val="20"/>
        </w:rPr>
        <w:t xml:space="preserve"> </w:t>
      </w:r>
      <w:r w:rsidR="00A31A33" w:rsidRPr="008248EB">
        <w:rPr>
          <w:rFonts w:asciiTheme="majorHAnsi" w:hAnsiTheme="majorHAnsi"/>
          <w:color w:val="auto"/>
          <w:szCs w:val="20"/>
        </w:rPr>
        <w:t>aufgrund der Automatisierung der Umfüll- und Transportprozesse ein hohes Maß an Erg</w:t>
      </w:r>
      <w:r w:rsidR="00A31A33" w:rsidRPr="008248EB">
        <w:rPr>
          <w:rFonts w:asciiTheme="majorHAnsi" w:hAnsiTheme="majorHAnsi"/>
          <w:color w:val="auto"/>
          <w:szCs w:val="20"/>
        </w:rPr>
        <w:t>o</w:t>
      </w:r>
      <w:r w:rsidR="00A31A33" w:rsidRPr="008248EB">
        <w:rPr>
          <w:rFonts w:asciiTheme="majorHAnsi" w:hAnsiTheme="majorHAnsi"/>
          <w:color w:val="auto"/>
          <w:szCs w:val="20"/>
        </w:rPr>
        <w:t>nomie und Arbeitssicherheit.</w:t>
      </w:r>
    </w:p>
    <w:p w:rsidR="00A62FFD" w:rsidRDefault="00A62FFD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8248EB" w:rsidRPr="008248EB" w:rsidRDefault="008248EB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325899" w:rsidRPr="008248EB" w:rsidRDefault="00A62FFD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</w:rPr>
      </w:pPr>
      <w:r w:rsidRPr="008248EB">
        <w:rPr>
          <w:rFonts w:asciiTheme="majorHAnsi" w:hAnsiTheme="majorHAnsi"/>
          <w:color w:val="auto"/>
          <w:szCs w:val="20"/>
        </w:rPr>
        <w:lastRenderedPageBreak/>
        <w:t>Eine weitere</w:t>
      </w:r>
      <w:r w:rsidR="00AD6DCC" w:rsidRPr="008248EB">
        <w:rPr>
          <w:rFonts w:asciiTheme="majorHAnsi" w:hAnsiTheme="majorHAnsi"/>
          <w:color w:val="auto"/>
          <w:szCs w:val="20"/>
        </w:rPr>
        <w:t>,</w:t>
      </w:r>
      <w:r w:rsidRPr="008248EB">
        <w:rPr>
          <w:rFonts w:asciiTheme="majorHAnsi" w:hAnsiTheme="majorHAnsi"/>
          <w:color w:val="auto"/>
          <w:szCs w:val="20"/>
        </w:rPr>
        <w:t xml:space="preserve"> maßgebliche Innovation stellt die bis ins kleinste Detail mögliche Staubanalyse des gesamten Versuchsprozesses dar, </w:t>
      </w:r>
      <w:r w:rsidR="004C5A02" w:rsidRPr="008248EB">
        <w:rPr>
          <w:rFonts w:asciiTheme="majorHAnsi" w:hAnsiTheme="majorHAnsi"/>
          <w:color w:val="auto"/>
          <w:szCs w:val="20"/>
        </w:rPr>
        <w:t>wodurch</w:t>
      </w:r>
      <w:r w:rsidRPr="008248EB">
        <w:rPr>
          <w:rFonts w:asciiTheme="majorHAnsi" w:hAnsiTheme="majorHAnsi"/>
          <w:color w:val="auto"/>
          <w:szCs w:val="20"/>
        </w:rPr>
        <w:t xml:space="preserve"> das Reduzieren von Emissionen ermöglicht</w:t>
      </w:r>
      <w:r w:rsidR="004C5A02" w:rsidRPr="008248EB">
        <w:rPr>
          <w:rFonts w:asciiTheme="majorHAnsi" w:hAnsiTheme="majorHAnsi"/>
          <w:color w:val="auto"/>
          <w:szCs w:val="20"/>
        </w:rPr>
        <w:t xml:space="preserve"> werden soll</w:t>
      </w:r>
      <w:r w:rsidRPr="008248EB">
        <w:rPr>
          <w:rFonts w:asciiTheme="majorHAnsi" w:hAnsiTheme="majorHAnsi"/>
          <w:color w:val="auto"/>
          <w:szCs w:val="20"/>
        </w:rPr>
        <w:t xml:space="preserve">. Mit einem Laser werden Austrittsstoffe gemessen und </w:t>
      </w:r>
      <w:r w:rsidR="004C5A02" w:rsidRPr="008248EB">
        <w:rPr>
          <w:rFonts w:asciiTheme="majorHAnsi" w:hAnsiTheme="majorHAnsi"/>
          <w:color w:val="auto"/>
          <w:szCs w:val="20"/>
        </w:rPr>
        <w:t xml:space="preserve">können als </w:t>
      </w:r>
      <w:r w:rsidRPr="008248EB">
        <w:rPr>
          <w:rFonts w:asciiTheme="majorHAnsi" w:hAnsiTheme="majorHAnsi"/>
          <w:color w:val="auto"/>
          <w:szCs w:val="20"/>
        </w:rPr>
        <w:t>repräs</w:t>
      </w:r>
      <w:r w:rsidR="00362D1A" w:rsidRPr="008248EB">
        <w:rPr>
          <w:rFonts w:asciiTheme="majorHAnsi" w:hAnsiTheme="majorHAnsi"/>
          <w:color w:val="auto"/>
          <w:szCs w:val="20"/>
        </w:rPr>
        <w:t>entat</w:t>
      </w:r>
      <w:r w:rsidR="00362D1A" w:rsidRPr="008248EB">
        <w:rPr>
          <w:rFonts w:asciiTheme="majorHAnsi" w:hAnsiTheme="majorHAnsi"/>
          <w:color w:val="auto"/>
          <w:szCs w:val="20"/>
        </w:rPr>
        <w:t>i</w:t>
      </w:r>
      <w:r w:rsidR="00362D1A" w:rsidRPr="008248EB">
        <w:rPr>
          <w:rFonts w:asciiTheme="majorHAnsi" w:hAnsiTheme="majorHAnsi"/>
          <w:color w:val="auto"/>
          <w:szCs w:val="20"/>
        </w:rPr>
        <w:t>ve Proben bewertet</w:t>
      </w:r>
      <w:r w:rsidR="004C5A02" w:rsidRPr="008248EB">
        <w:rPr>
          <w:rFonts w:asciiTheme="majorHAnsi" w:hAnsiTheme="majorHAnsi"/>
          <w:color w:val="auto"/>
          <w:szCs w:val="20"/>
        </w:rPr>
        <w:t xml:space="preserve"> werden</w:t>
      </w:r>
      <w:r w:rsidR="00362D1A" w:rsidRPr="008248EB">
        <w:rPr>
          <w:rFonts w:asciiTheme="majorHAnsi" w:hAnsiTheme="majorHAnsi"/>
          <w:color w:val="auto"/>
          <w:szCs w:val="20"/>
        </w:rPr>
        <w:t xml:space="preserve">. Dank des </w:t>
      </w:r>
      <w:r w:rsidRPr="008248EB">
        <w:rPr>
          <w:rFonts w:asciiTheme="majorHAnsi" w:hAnsiTheme="majorHAnsi"/>
          <w:color w:val="auto"/>
          <w:szCs w:val="20"/>
        </w:rPr>
        <w:t>vollautomatisierten Ablauf</w:t>
      </w:r>
      <w:r w:rsidR="00362D1A" w:rsidRPr="008248EB">
        <w:rPr>
          <w:rFonts w:asciiTheme="majorHAnsi" w:hAnsiTheme="majorHAnsi"/>
          <w:color w:val="auto"/>
          <w:szCs w:val="20"/>
        </w:rPr>
        <w:t>s</w:t>
      </w:r>
      <w:r w:rsidRPr="008248EB">
        <w:rPr>
          <w:rFonts w:asciiTheme="majorHAnsi" w:hAnsiTheme="majorHAnsi"/>
          <w:color w:val="auto"/>
          <w:szCs w:val="20"/>
        </w:rPr>
        <w:t xml:space="preserve"> können staubarme Ei</w:t>
      </w:r>
      <w:r w:rsidRPr="008248EB">
        <w:rPr>
          <w:rFonts w:asciiTheme="majorHAnsi" w:hAnsiTheme="majorHAnsi"/>
          <w:color w:val="auto"/>
          <w:szCs w:val="20"/>
        </w:rPr>
        <w:t>n</w:t>
      </w:r>
      <w:r w:rsidRPr="008248EB">
        <w:rPr>
          <w:rFonts w:asciiTheme="majorHAnsi" w:hAnsiTheme="majorHAnsi"/>
          <w:color w:val="auto"/>
          <w:szCs w:val="20"/>
        </w:rPr>
        <w:t xml:space="preserve">satzstoffe identifiziert und ihr optimaler Einsatz bestimmt werden. </w:t>
      </w:r>
      <w:r w:rsidR="00325899" w:rsidRPr="008248EB">
        <w:rPr>
          <w:rFonts w:asciiTheme="majorHAnsi" w:hAnsiTheme="majorHAnsi"/>
          <w:color w:val="auto"/>
          <w:szCs w:val="20"/>
        </w:rPr>
        <w:t xml:space="preserve">Die Anlage wurde mit der Unterstützung der Ingenieursfirma </w:t>
      </w:r>
      <w:proofErr w:type="spellStart"/>
      <w:r w:rsidR="00325899" w:rsidRPr="008248EB">
        <w:rPr>
          <w:rFonts w:asciiTheme="majorHAnsi" w:hAnsiTheme="majorHAnsi"/>
          <w:color w:val="auto"/>
          <w:szCs w:val="20"/>
        </w:rPr>
        <w:t>Heat</w:t>
      </w:r>
      <w:proofErr w:type="spellEnd"/>
      <w:r w:rsidR="00325899" w:rsidRPr="008248EB">
        <w:rPr>
          <w:rFonts w:asciiTheme="majorHAnsi" w:hAnsiTheme="majorHAnsi"/>
          <w:color w:val="auto"/>
          <w:szCs w:val="20"/>
        </w:rPr>
        <w:t xml:space="preserve"> </w:t>
      </w:r>
      <w:proofErr w:type="spellStart"/>
      <w:r w:rsidR="00325899" w:rsidRPr="008248EB">
        <w:rPr>
          <w:rFonts w:asciiTheme="majorHAnsi" w:hAnsiTheme="majorHAnsi"/>
          <w:color w:val="auto"/>
          <w:szCs w:val="20"/>
        </w:rPr>
        <w:t>and</w:t>
      </w:r>
      <w:proofErr w:type="spellEnd"/>
      <w:r w:rsidR="00325899" w:rsidRPr="008248EB">
        <w:rPr>
          <w:rFonts w:asciiTheme="majorHAnsi" w:hAnsiTheme="majorHAnsi"/>
          <w:color w:val="auto"/>
          <w:szCs w:val="20"/>
        </w:rPr>
        <w:t xml:space="preserve"> Power Engineering GmbH (Stuttgart) gebaut. Das Steuerungsmodell stammt von der Siemens AG. </w:t>
      </w:r>
    </w:p>
    <w:p w:rsidR="00362D1A" w:rsidRPr="008248EB" w:rsidRDefault="00362D1A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</w:rPr>
      </w:pPr>
    </w:p>
    <w:p w:rsidR="00A62FFD" w:rsidRPr="008248EB" w:rsidRDefault="00A62FFD" w:rsidP="007C0B66">
      <w:pPr>
        <w:spacing w:line="360" w:lineRule="auto"/>
        <w:jc w:val="both"/>
        <w:rPr>
          <w:rFonts w:asciiTheme="majorHAnsi" w:hAnsiTheme="majorHAnsi"/>
          <w:color w:val="auto"/>
          <w:szCs w:val="20"/>
        </w:rPr>
      </w:pPr>
      <w:r w:rsidRPr="008248EB">
        <w:rPr>
          <w:rFonts w:asciiTheme="majorHAnsi" w:hAnsiTheme="majorHAnsi"/>
          <w:color w:val="auto"/>
          <w:szCs w:val="20"/>
        </w:rPr>
        <w:t>Die Sinterversuchsanlage stellt einen weiteren aktiven Beitrag für eine bessere Umwelts</w:t>
      </w:r>
      <w:r w:rsidRPr="008248EB">
        <w:rPr>
          <w:rFonts w:asciiTheme="majorHAnsi" w:hAnsiTheme="majorHAnsi"/>
          <w:color w:val="auto"/>
          <w:szCs w:val="20"/>
        </w:rPr>
        <w:t>i</w:t>
      </w:r>
      <w:r w:rsidRPr="008248EB">
        <w:rPr>
          <w:rFonts w:asciiTheme="majorHAnsi" w:hAnsiTheme="majorHAnsi"/>
          <w:color w:val="auto"/>
          <w:szCs w:val="20"/>
        </w:rPr>
        <w:t>tuation in Duisburg dar. Erst kürzlich hat thyssenkrupp Steel Europe mit dem Bau eine</w:t>
      </w:r>
      <w:r w:rsidR="00325899" w:rsidRPr="008248EB">
        <w:rPr>
          <w:rFonts w:asciiTheme="majorHAnsi" w:hAnsiTheme="majorHAnsi"/>
          <w:color w:val="auto"/>
          <w:szCs w:val="20"/>
        </w:rPr>
        <w:t>s</w:t>
      </w:r>
      <w:r w:rsidRPr="008248EB">
        <w:rPr>
          <w:rFonts w:asciiTheme="majorHAnsi" w:hAnsiTheme="majorHAnsi"/>
          <w:color w:val="auto"/>
          <w:szCs w:val="20"/>
        </w:rPr>
        <w:t xml:space="preserve"> </w:t>
      </w:r>
      <w:r w:rsidR="00325899" w:rsidRPr="008248EB">
        <w:rPr>
          <w:rFonts w:asciiTheme="majorHAnsi" w:hAnsiTheme="majorHAnsi"/>
          <w:color w:val="auto"/>
          <w:szCs w:val="20"/>
        </w:rPr>
        <w:t xml:space="preserve">weiteren, </w:t>
      </w:r>
      <w:r w:rsidRPr="008248EB">
        <w:rPr>
          <w:rFonts w:asciiTheme="majorHAnsi" w:hAnsiTheme="majorHAnsi"/>
          <w:color w:val="auto"/>
          <w:szCs w:val="20"/>
        </w:rPr>
        <w:t>modernen Tuchfilter</w:t>
      </w:r>
      <w:r w:rsidR="00325899" w:rsidRPr="008248EB">
        <w:rPr>
          <w:rFonts w:asciiTheme="majorHAnsi" w:hAnsiTheme="majorHAnsi"/>
          <w:color w:val="auto"/>
          <w:szCs w:val="20"/>
        </w:rPr>
        <w:t>s</w:t>
      </w:r>
      <w:r w:rsidRPr="008248EB">
        <w:rPr>
          <w:rFonts w:asciiTheme="majorHAnsi" w:hAnsiTheme="majorHAnsi"/>
          <w:color w:val="auto"/>
          <w:szCs w:val="20"/>
        </w:rPr>
        <w:t xml:space="preserve"> begonnen, mit de</w:t>
      </w:r>
      <w:r w:rsidR="00325899" w:rsidRPr="008248EB">
        <w:rPr>
          <w:rFonts w:asciiTheme="majorHAnsi" w:hAnsiTheme="majorHAnsi"/>
          <w:color w:val="auto"/>
          <w:szCs w:val="20"/>
        </w:rPr>
        <w:t>m</w:t>
      </w:r>
      <w:r w:rsidRPr="008248EB">
        <w:rPr>
          <w:rFonts w:asciiTheme="majorHAnsi" w:hAnsiTheme="majorHAnsi"/>
          <w:color w:val="auto"/>
          <w:szCs w:val="20"/>
        </w:rPr>
        <w:t xml:space="preserve"> nahezu 99,99 Pro</w:t>
      </w:r>
      <w:r w:rsidR="00362D1A" w:rsidRPr="008248EB">
        <w:rPr>
          <w:rFonts w:asciiTheme="majorHAnsi" w:hAnsiTheme="majorHAnsi"/>
          <w:color w:val="auto"/>
          <w:szCs w:val="20"/>
        </w:rPr>
        <w:t xml:space="preserve">zent </w:t>
      </w:r>
      <w:r w:rsidRPr="008248EB">
        <w:rPr>
          <w:rFonts w:asciiTheme="majorHAnsi" w:hAnsiTheme="majorHAnsi"/>
          <w:color w:val="auto"/>
          <w:szCs w:val="20"/>
        </w:rPr>
        <w:t xml:space="preserve">des Sinterstaubs </w:t>
      </w:r>
      <w:r w:rsidR="004C5A02" w:rsidRPr="008248EB">
        <w:rPr>
          <w:rFonts w:asciiTheme="majorHAnsi" w:hAnsiTheme="majorHAnsi"/>
          <w:color w:val="auto"/>
          <w:szCs w:val="20"/>
        </w:rPr>
        <w:t>verursacht durch die Sinterp</w:t>
      </w:r>
      <w:r w:rsidRPr="008248EB">
        <w:rPr>
          <w:rFonts w:asciiTheme="majorHAnsi" w:hAnsiTheme="majorHAnsi"/>
          <w:color w:val="auto"/>
          <w:szCs w:val="20"/>
        </w:rPr>
        <w:t xml:space="preserve">roduktion eingefangen werden können. </w:t>
      </w:r>
      <w:r w:rsidR="00325899" w:rsidRPr="008248EB">
        <w:rPr>
          <w:rFonts w:asciiTheme="majorHAnsi" w:hAnsiTheme="majorHAnsi"/>
          <w:color w:val="auto"/>
          <w:szCs w:val="20"/>
        </w:rPr>
        <w:t xml:space="preserve">Diese Anlage soll im Frühjahr 2017 </w:t>
      </w:r>
      <w:r w:rsidR="004C5A02" w:rsidRPr="008248EB">
        <w:rPr>
          <w:rFonts w:asciiTheme="majorHAnsi" w:hAnsiTheme="majorHAnsi"/>
          <w:color w:val="auto"/>
          <w:szCs w:val="20"/>
        </w:rPr>
        <w:t>in Betrieb genommen werden</w:t>
      </w:r>
      <w:r w:rsidR="00325899" w:rsidRPr="008248EB">
        <w:rPr>
          <w:rFonts w:asciiTheme="majorHAnsi" w:hAnsiTheme="majorHAnsi"/>
          <w:color w:val="auto"/>
          <w:szCs w:val="20"/>
        </w:rPr>
        <w:t xml:space="preserve">. </w:t>
      </w:r>
    </w:p>
    <w:p w:rsidR="00457D23" w:rsidRPr="008248EB" w:rsidRDefault="00457D23" w:rsidP="007C0B66">
      <w:pPr>
        <w:spacing w:line="360" w:lineRule="auto"/>
        <w:jc w:val="both"/>
        <w:rPr>
          <w:rFonts w:asciiTheme="majorHAnsi" w:hAnsiTheme="majorHAnsi"/>
          <w:szCs w:val="20"/>
          <w:lang w:val="de-AT"/>
        </w:rPr>
      </w:pPr>
    </w:p>
    <w:p w:rsidR="00457D23" w:rsidRPr="008248EB" w:rsidRDefault="00457D23" w:rsidP="007C0B66">
      <w:pPr>
        <w:spacing w:line="360" w:lineRule="auto"/>
        <w:jc w:val="both"/>
        <w:rPr>
          <w:rFonts w:asciiTheme="majorHAnsi" w:hAnsiTheme="majorHAnsi"/>
          <w:szCs w:val="20"/>
          <w:lang w:val="de-AT"/>
        </w:rPr>
      </w:pPr>
    </w:p>
    <w:p w:rsidR="00957075" w:rsidRPr="008248EB" w:rsidRDefault="00957075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Ansprechpartner:</w:t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proofErr w:type="spellStart"/>
      <w:r w:rsidRPr="008248EB">
        <w:rPr>
          <w:rFonts w:asciiTheme="majorHAnsi" w:hAnsiTheme="majorHAnsi"/>
          <w:szCs w:val="20"/>
        </w:rPr>
        <w:t>thyssenkrupp</w:t>
      </w:r>
      <w:proofErr w:type="spellEnd"/>
      <w:r w:rsidRPr="008248EB">
        <w:rPr>
          <w:rFonts w:asciiTheme="majorHAnsi" w:hAnsiTheme="majorHAnsi"/>
          <w:szCs w:val="20"/>
        </w:rPr>
        <w:t xml:space="preserve"> Steel</w:t>
      </w:r>
      <w:r w:rsidR="0010285E" w:rsidRPr="008248EB">
        <w:rPr>
          <w:rFonts w:asciiTheme="majorHAnsi" w:hAnsiTheme="majorHAnsi"/>
          <w:szCs w:val="20"/>
        </w:rPr>
        <w:t xml:space="preserve"> Europe AG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Erik Walner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Leiter Media Relations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T: +49 203 52</w:t>
      </w:r>
      <w:r w:rsidR="00957075" w:rsidRPr="008248EB">
        <w:rPr>
          <w:rFonts w:ascii="Arial" w:hAnsi="Arial" w:cs="Arial"/>
          <w:szCs w:val="20"/>
        </w:rPr>
        <w:t> </w:t>
      </w:r>
      <w:r w:rsidR="00957075" w:rsidRPr="008248EB">
        <w:rPr>
          <w:rFonts w:asciiTheme="majorHAnsi" w:hAnsiTheme="majorHAnsi"/>
          <w:szCs w:val="20"/>
        </w:rPr>
        <w:t>-</w:t>
      </w:r>
      <w:r w:rsidR="00957075" w:rsidRPr="008248EB">
        <w:rPr>
          <w:rFonts w:ascii="Arial" w:hAnsi="Arial" w:cs="Arial"/>
          <w:szCs w:val="20"/>
        </w:rPr>
        <w:t> </w:t>
      </w:r>
      <w:r w:rsidRPr="008248EB">
        <w:rPr>
          <w:rFonts w:asciiTheme="majorHAnsi" w:hAnsiTheme="majorHAnsi"/>
          <w:szCs w:val="20"/>
        </w:rPr>
        <w:t>45130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752059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9" w:history="1">
        <w:r w:rsidR="00786273" w:rsidRPr="008248EB">
          <w:rPr>
            <w:rStyle w:val="Hyperlink"/>
            <w:rFonts w:asciiTheme="majorHAnsi" w:hAnsiTheme="majorHAnsi"/>
            <w:szCs w:val="20"/>
          </w:rPr>
          <w:t>erik.walner@thyssenkrupp.com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786273" w:rsidRPr="008248EB" w:rsidRDefault="00752059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10" w:history="1">
        <w:r w:rsidR="002C46CC" w:rsidRPr="008248EB">
          <w:rPr>
            <w:rStyle w:val="Hyperlink"/>
            <w:rFonts w:asciiTheme="majorHAnsi" w:hAnsiTheme="majorHAnsi"/>
            <w:szCs w:val="20"/>
          </w:rPr>
          <w:t>www.thyssenkrupp-steel.com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957075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3611C0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 xml:space="preserve">Company </w:t>
      </w:r>
      <w:proofErr w:type="spellStart"/>
      <w:r w:rsidRPr="008248EB">
        <w:rPr>
          <w:rFonts w:asciiTheme="majorHAnsi" w:hAnsiTheme="majorHAnsi"/>
          <w:szCs w:val="20"/>
        </w:rPr>
        <w:t>blog</w:t>
      </w:r>
      <w:proofErr w:type="spellEnd"/>
      <w:r w:rsidRPr="008248EB">
        <w:rPr>
          <w:rFonts w:asciiTheme="majorHAnsi" w:hAnsiTheme="majorHAnsi"/>
          <w:szCs w:val="20"/>
        </w:rPr>
        <w:t>:</w:t>
      </w:r>
      <w:r w:rsidR="0039754F" w:rsidRPr="008248EB">
        <w:rPr>
          <w:rFonts w:asciiTheme="majorHAnsi" w:hAnsiTheme="majorHAnsi"/>
          <w:szCs w:val="20"/>
        </w:rPr>
        <w:t xml:space="preserve"> </w:t>
      </w:r>
      <w:hyperlink r:id="rId11" w:history="1">
        <w:r w:rsidR="002C46CC" w:rsidRPr="008248EB">
          <w:rPr>
            <w:rStyle w:val="Hyperlink"/>
            <w:rFonts w:asciiTheme="majorHAnsi" w:hAnsiTheme="majorHAnsi"/>
            <w:szCs w:val="20"/>
          </w:rPr>
          <w:t>https://engineered.thyssenkrupp.com</w:t>
        </w:r>
      </w:hyperlink>
    </w:p>
    <w:sectPr w:rsidR="003611C0" w:rsidRPr="008248EB" w:rsidSect="008D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0D" w:rsidRDefault="00B00C0D" w:rsidP="005B5ABA">
      <w:pPr>
        <w:spacing w:line="240" w:lineRule="auto"/>
      </w:pPr>
      <w:r>
        <w:separator/>
      </w:r>
    </w:p>
  </w:endnote>
  <w:endnote w:type="continuationSeparator" w:id="0">
    <w:p w:rsidR="00B00C0D" w:rsidRDefault="00B00C0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8508F8" w:rsidRPr="000E50B7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8508F8" w:rsidRPr="000E50B7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8508F8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0D" w:rsidRDefault="00B00C0D" w:rsidP="005B5ABA">
      <w:pPr>
        <w:spacing w:line="240" w:lineRule="auto"/>
      </w:pPr>
      <w:r>
        <w:separator/>
      </w:r>
    </w:p>
  </w:footnote>
  <w:footnote w:type="continuationSeparator" w:id="0">
    <w:p w:rsidR="00B00C0D" w:rsidRDefault="00B00C0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34DFB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52059">
                            <w:rPr>
                              <w:noProof/>
                            </w:rPr>
                            <w:t>18.12.2015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20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52059">
                            <w:fldChar w:fldCharType="begin"/>
                          </w:r>
                          <w:r w:rsidR="00752059">
                            <w:instrText xml:space="preserve"> NUMPAGES   \* MERGEFORMAT </w:instrText>
                          </w:r>
                          <w:r w:rsidR="00752059">
                            <w:fldChar w:fldCharType="separate"/>
                          </w:r>
                          <w:r w:rsidR="00752059">
                            <w:rPr>
                              <w:noProof/>
                            </w:rPr>
                            <w:t>2</w:t>
                          </w:r>
                          <w:r w:rsidR="0075205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34DFB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52059">
                      <w:rPr>
                        <w:noProof/>
                      </w:rPr>
                      <w:t>18.12.2015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20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52059">
                      <w:fldChar w:fldCharType="begin"/>
                    </w:r>
                    <w:r w:rsidR="00752059">
                      <w:instrText xml:space="preserve"> NUMPAGES   \* MERGEFORMAT </w:instrText>
                    </w:r>
                    <w:r w:rsidR="00752059">
                      <w:fldChar w:fldCharType="separate"/>
                    </w:r>
                    <w:r w:rsidR="00752059">
                      <w:rPr>
                        <w:noProof/>
                      </w:rPr>
                      <w:t>2</w:t>
                    </w:r>
                    <w:r w:rsidR="007520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55pt;height:3.55pt" o:bullet="t">
        <v:imagedata r:id="rId1" o:title="Bullet_blau_RGB_klein"/>
      </v:shape>
    </w:pict>
  </w:numPicBullet>
  <w:numPicBullet w:numPicBulletId="1">
    <w:pict>
      <v:shape id="_x0000_i1029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2463"/>
    <w:rsid w:val="000A40CF"/>
    <w:rsid w:val="000D4D6C"/>
    <w:rsid w:val="000E478B"/>
    <w:rsid w:val="000F62A0"/>
    <w:rsid w:val="000F6B66"/>
    <w:rsid w:val="0010285E"/>
    <w:rsid w:val="00102C50"/>
    <w:rsid w:val="00105DCB"/>
    <w:rsid w:val="001074D4"/>
    <w:rsid w:val="0011188C"/>
    <w:rsid w:val="0012602B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33405"/>
    <w:rsid w:val="00235591"/>
    <w:rsid w:val="00243C72"/>
    <w:rsid w:val="0024653B"/>
    <w:rsid w:val="00265BD0"/>
    <w:rsid w:val="0028654D"/>
    <w:rsid w:val="002B1713"/>
    <w:rsid w:val="002B677A"/>
    <w:rsid w:val="002C46CC"/>
    <w:rsid w:val="002C4AF5"/>
    <w:rsid w:val="002C62A1"/>
    <w:rsid w:val="002D1B27"/>
    <w:rsid w:val="002E2CC9"/>
    <w:rsid w:val="00304A38"/>
    <w:rsid w:val="0030756A"/>
    <w:rsid w:val="00311793"/>
    <w:rsid w:val="00323E6F"/>
    <w:rsid w:val="00325899"/>
    <w:rsid w:val="003312D4"/>
    <w:rsid w:val="003412BB"/>
    <w:rsid w:val="003440A4"/>
    <w:rsid w:val="00347759"/>
    <w:rsid w:val="003611C0"/>
    <w:rsid w:val="00362D1A"/>
    <w:rsid w:val="00372E6F"/>
    <w:rsid w:val="00374CE1"/>
    <w:rsid w:val="003857D6"/>
    <w:rsid w:val="00385937"/>
    <w:rsid w:val="00386EDA"/>
    <w:rsid w:val="00394191"/>
    <w:rsid w:val="0039754F"/>
    <w:rsid w:val="003A0D40"/>
    <w:rsid w:val="003A2163"/>
    <w:rsid w:val="003B1E7E"/>
    <w:rsid w:val="003C3F58"/>
    <w:rsid w:val="00400E0B"/>
    <w:rsid w:val="00402E5D"/>
    <w:rsid w:val="00424DC1"/>
    <w:rsid w:val="00442017"/>
    <w:rsid w:val="004454A2"/>
    <w:rsid w:val="00457D23"/>
    <w:rsid w:val="00457F9F"/>
    <w:rsid w:val="004603B0"/>
    <w:rsid w:val="00463FA6"/>
    <w:rsid w:val="00466E32"/>
    <w:rsid w:val="00467F61"/>
    <w:rsid w:val="00473201"/>
    <w:rsid w:val="00477103"/>
    <w:rsid w:val="00485FCD"/>
    <w:rsid w:val="00490007"/>
    <w:rsid w:val="004C1133"/>
    <w:rsid w:val="004C43B9"/>
    <w:rsid w:val="004C5A02"/>
    <w:rsid w:val="004D1918"/>
    <w:rsid w:val="004D4520"/>
    <w:rsid w:val="004E1549"/>
    <w:rsid w:val="004E3BE6"/>
    <w:rsid w:val="004F3F4D"/>
    <w:rsid w:val="004F603C"/>
    <w:rsid w:val="005028EC"/>
    <w:rsid w:val="00502CE9"/>
    <w:rsid w:val="005077C8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08AA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D3B8E"/>
    <w:rsid w:val="005E5C7D"/>
    <w:rsid w:val="005E7FCB"/>
    <w:rsid w:val="005F147F"/>
    <w:rsid w:val="005F2F66"/>
    <w:rsid w:val="005F7605"/>
    <w:rsid w:val="00602B3B"/>
    <w:rsid w:val="00606EE4"/>
    <w:rsid w:val="00614B87"/>
    <w:rsid w:val="006366E0"/>
    <w:rsid w:val="006870AC"/>
    <w:rsid w:val="00690122"/>
    <w:rsid w:val="006977CF"/>
    <w:rsid w:val="00697EA6"/>
    <w:rsid w:val="006B2DFC"/>
    <w:rsid w:val="006B7A0A"/>
    <w:rsid w:val="006C4DE2"/>
    <w:rsid w:val="006D2BC1"/>
    <w:rsid w:val="006E5B34"/>
    <w:rsid w:val="006F4680"/>
    <w:rsid w:val="007065C5"/>
    <w:rsid w:val="0070793C"/>
    <w:rsid w:val="00717F0E"/>
    <w:rsid w:val="007226A9"/>
    <w:rsid w:val="00741356"/>
    <w:rsid w:val="00743CA5"/>
    <w:rsid w:val="00752059"/>
    <w:rsid w:val="00755DC2"/>
    <w:rsid w:val="00777040"/>
    <w:rsid w:val="00785030"/>
    <w:rsid w:val="00786273"/>
    <w:rsid w:val="007B21C7"/>
    <w:rsid w:val="007B7169"/>
    <w:rsid w:val="007C0B66"/>
    <w:rsid w:val="007C2073"/>
    <w:rsid w:val="007C45CE"/>
    <w:rsid w:val="007C6F64"/>
    <w:rsid w:val="007D2DC3"/>
    <w:rsid w:val="007D3550"/>
    <w:rsid w:val="007F0A0E"/>
    <w:rsid w:val="007F4010"/>
    <w:rsid w:val="00816B43"/>
    <w:rsid w:val="008248EB"/>
    <w:rsid w:val="0083279D"/>
    <w:rsid w:val="008348CB"/>
    <w:rsid w:val="008404B7"/>
    <w:rsid w:val="00841D01"/>
    <w:rsid w:val="0084534A"/>
    <w:rsid w:val="008508F8"/>
    <w:rsid w:val="00855504"/>
    <w:rsid w:val="0085632E"/>
    <w:rsid w:val="00870C4F"/>
    <w:rsid w:val="00874877"/>
    <w:rsid w:val="0087668E"/>
    <w:rsid w:val="008A552C"/>
    <w:rsid w:val="008A7BF0"/>
    <w:rsid w:val="008B3481"/>
    <w:rsid w:val="008B6309"/>
    <w:rsid w:val="008C4331"/>
    <w:rsid w:val="008D1C62"/>
    <w:rsid w:val="008D3DFA"/>
    <w:rsid w:val="008D54B7"/>
    <w:rsid w:val="008F1C7C"/>
    <w:rsid w:val="008F2FF4"/>
    <w:rsid w:val="00900009"/>
    <w:rsid w:val="009110E9"/>
    <w:rsid w:val="00911BB0"/>
    <w:rsid w:val="00922375"/>
    <w:rsid w:val="0092247E"/>
    <w:rsid w:val="00957075"/>
    <w:rsid w:val="0097091A"/>
    <w:rsid w:val="0097120C"/>
    <w:rsid w:val="00993C40"/>
    <w:rsid w:val="009B57CB"/>
    <w:rsid w:val="009B6480"/>
    <w:rsid w:val="009B72A2"/>
    <w:rsid w:val="009C0EFE"/>
    <w:rsid w:val="009D1030"/>
    <w:rsid w:val="009D2BE0"/>
    <w:rsid w:val="009E1F42"/>
    <w:rsid w:val="009F576B"/>
    <w:rsid w:val="00A037B9"/>
    <w:rsid w:val="00A16F76"/>
    <w:rsid w:val="00A31A33"/>
    <w:rsid w:val="00A429FE"/>
    <w:rsid w:val="00A42F15"/>
    <w:rsid w:val="00A51FAE"/>
    <w:rsid w:val="00A54FA1"/>
    <w:rsid w:val="00A62FFD"/>
    <w:rsid w:val="00A67B90"/>
    <w:rsid w:val="00A70C82"/>
    <w:rsid w:val="00A70ED2"/>
    <w:rsid w:val="00AC49B6"/>
    <w:rsid w:val="00AD1CF1"/>
    <w:rsid w:val="00AD28B9"/>
    <w:rsid w:val="00AD6DCC"/>
    <w:rsid w:val="00AE0DFC"/>
    <w:rsid w:val="00AF4318"/>
    <w:rsid w:val="00AF75F1"/>
    <w:rsid w:val="00B00C0D"/>
    <w:rsid w:val="00B03CAB"/>
    <w:rsid w:val="00B14151"/>
    <w:rsid w:val="00B147E8"/>
    <w:rsid w:val="00B3304F"/>
    <w:rsid w:val="00B40E49"/>
    <w:rsid w:val="00B51FC7"/>
    <w:rsid w:val="00B56DC4"/>
    <w:rsid w:val="00B57110"/>
    <w:rsid w:val="00B579A7"/>
    <w:rsid w:val="00B61DEE"/>
    <w:rsid w:val="00B77C8B"/>
    <w:rsid w:val="00B813C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B5099"/>
    <w:rsid w:val="00CC7769"/>
    <w:rsid w:val="00CD4852"/>
    <w:rsid w:val="00CE0E65"/>
    <w:rsid w:val="00CE1ACD"/>
    <w:rsid w:val="00CE7E29"/>
    <w:rsid w:val="00D003F8"/>
    <w:rsid w:val="00D12BC9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86ED4"/>
    <w:rsid w:val="00D8708F"/>
    <w:rsid w:val="00D90483"/>
    <w:rsid w:val="00D92877"/>
    <w:rsid w:val="00D9726C"/>
    <w:rsid w:val="00DA5A54"/>
    <w:rsid w:val="00DE7D95"/>
    <w:rsid w:val="00DF2953"/>
    <w:rsid w:val="00E1109A"/>
    <w:rsid w:val="00E2367D"/>
    <w:rsid w:val="00E27D5E"/>
    <w:rsid w:val="00E3039A"/>
    <w:rsid w:val="00E34DFB"/>
    <w:rsid w:val="00E36509"/>
    <w:rsid w:val="00E40C1C"/>
    <w:rsid w:val="00E504B2"/>
    <w:rsid w:val="00E67FF9"/>
    <w:rsid w:val="00E72E7F"/>
    <w:rsid w:val="00E756E7"/>
    <w:rsid w:val="00E77D96"/>
    <w:rsid w:val="00E97A69"/>
    <w:rsid w:val="00EB4732"/>
    <w:rsid w:val="00EC06CC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7C89"/>
    <w:rsid w:val="00F668A3"/>
    <w:rsid w:val="00F67BFF"/>
    <w:rsid w:val="00F934AC"/>
    <w:rsid w:val="00FA584F"/>
    <w:rsid w:val="00FA719A"/>
    <w:rsid w:val="00FA79C7"/>
    <w:rsid w:val="00FB20DF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420E-F95A-4D89-AE85-737C314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5</cp:revision>
  <cp:lastPrinted>2015-12-17T09:35:00Z</cp:lastPrinted>
  <dcterms:created xsi:type="dcterms:W3CDTF">2015-12-17T12:04:00Z</dcterms:created>
  <dcterms:modified xsi:type="dcterms:W3CDTF">2015-12-18T13:57:00Z</dcterms:modified>
</cp:coreProperties>
</file>