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bookmarkStart w:id="0" w:name="_GoBack"/>
            <w:bookmarkEnd w:id="0"/>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531A23" w:rsidP="001E7E0A">
            <w:pPr>
              <w:pStyle w:val="Datefield"/>
            </w:pPr>
            <w:r>
              <w:t>01</w:t>
            </w:r>
            <w:r w:rsidR="001E7E0A" w:rsidRPr="0013495B">
              <w:t>.</w:t>
            </w:r>
            <w:r>
              <w:t>12</w:t>
            </w:r>
            <w:r w:rsidR="001E7E0A" w:rsidRPr="0013495B">
              <w:t>.</w:t>
            </w:r>
            <w:r>
              <w:t>2016</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76538B">
              <w:rPr>
                <w:noProof/>
              </w:rPr>
              <w:t>1</w:t>
            </w:r>
            <w:r w:rsidR="001E7E0A" w:rsidRPr="0013495B">
              <w:fldChar w:fldCharType="end"/>
            </w:r>
            <w:r w:rsidR="001E7E0A" w:rsidRPr="0013495B">
              <w:t>/</w:t>
            </w:r>
            <w:r w:rsidR="0035338F">
              <w:fldChar w:fldCharType="begin"/>
            </w:r>
            <w:r w:rsidR="0035338F">
              <w:instrText xml:space="preserve"> NUMPAGES   \* MERGEFORMAT </w:instrText>
            </w:r>
            <w:r w:rsidR="0035338F">
              <w:fldChar w:fldCharType="separate"/>
            </w:r>
            <w:r w:rsidR="007F36DC">
              <w:rPr>
                <w:noProof/>
              </w:rPr>
              <w:t>1</w:t>
            </w:r>
            <w:r w:rsidR="0035338F">
              <w:rPr>
                <w:noProof/>
              </w:rPr>
              <w:fldChar w:fldCharType="end"/>
            </w:r>
          </w:p>
        </w:tc>
      </w:tr>
    </w:tbl>
    <w:p w:rsidR="00F4093A" w:rsidRPr="0013495B" w:rsidRDefault="00F4093A" w:rsidP="00F4093A"/>
    <w:p w:rsidR="00531A23" w:rsidRPr="00531A23" w:rsidRDefault="00531A23" w:rsidP="00531A23">
      <w:pPr>
        <w:pStyle w:val="Subjectline"/>
        <w:jc w:val="both"/>
      </w:pPr>
      <w:r w:rsidRPr="00531A23">
        <w:t>At the top of the recycling quota: More than 90 percent of steel packaging was eco-friendly recycled</w:t>
      </w:r>
    </w:p>
    <w:p w:rsidR="00250865" w:rsidRDefault="00250865" w:rsidP="00CB6F07">
      <w:pPr>
        <w:jc w:val="both"/>
      </w:pPr>
    </w:p>
    <w:p w:rsidR="00531A23" w:rsidRDefault="00531A23" w:rsidP="00531A23">
      <w:pPr>
        <w:jc w:val="both"/>
      </w:pPr>
      <w:r w:rsidRPr="00531A23">
        <w:t xml:space="preserve">Up to 90.7% of the tinplate packaging consumed in Germany was utilized in 2015. The quota is 92.9% with respect to the consumption quantities from private households, which represent approximately 85% of the total usage. Thus, now as before, packaging steel (tinplate) is at the top of all comparable packaging materials. </w:t>
      </w:r>
      <w:proofErr w:type="gramStart"/>
      <w:r w:rsidRPr="00531A23">
        <w:t xml:space="preserve">The latest figures of the “Recycling Balance Sheet for Packaging”, which have now been presented by the </w:t>
      </w:r>
      <w:proofErr w:type="spellStart"/>
      <w:r w:rsidRPr="00531A23">
        <w:t>Gesellschaft</w:t>
      </w:r>
      <w:proofErr w:type="spellEnd"/>
      <w:r w:rsidRPr="00531A23">
        <w:t xml:space="preserve"> für </w:t>
      </w:r>
      <w:proofErr w:type="spellStart"/>
      <w:r w:rsidRPr="00531A23">
        <w:t>Verpackungsmarktforschung</w:t>
      </w:r>
      <w:proofErr w:type="spellEnd"/>
      <w:r w:rsidRPr="00531A23">
        <w:t xml:space="preserve"> (</w:t>
      </w:r>
      <w:proofErr w:type="spellStart"/>
      <w:r w:rsidRPr="00531A23">
        <w:t>gvm</w:t>
      </w:r>
      <w:proofErr w:type="spellEnd"/>
      <w:r w:rsidRPr="00531A23">
        <w:t>), reflect this.</w:t>
      </w:r>
      <w:proofErr w:type="gramEnd"/>
      <w:r w:rsidRPr="00531A23">
        <w:t xml:space="preserve"> The new figures, which “distinguish consistently...between material and energy utilization” also prove that packaging steel is utilized almost completely, while most other packaging materials require some significant percentage of energy utilization.</w:t>
      </w:r>
    </w:p>
    <w:p w:rsidR="00531A23" w:rsidRPr="00531A23" w:rsidRDefault="00531A23" w:rsidP="00531A23">
      <w:pPr>
        <w:jc w:val="both"/>
      </w:pPr>
    </w:p>
    <w:p w:rsidR="00531A23" w:rsidRDefault="00531A23" w:rsidP="00531A23">
      <w:pPr>
        <w:jc w:val="both"/>
      </w:pPr>
      <w:r w:rsidRPr="00531A23">
        <w:t xml:space="preserve">As compared to the previous year, the total German consumption of packaging steel increased by approximately 3% to the current 505,800 tonnes. Accordingly, the utilization quota achieved represents a continuation of the recycling quantities of the previous year. The decline of the quota as compared to the previous year’s value by 2.4 percentage points is in part a consequence of the recalculation of utilization quantities from the different collection systems and recording methods due to the 7th amendment of the packaging directive, which has been in effect since 2015. According to </w:t>
      </w:r>
      <w:proofErr w:type="spellStart"/>
      <w:r w:rsidRPr="00531A23">
        <w:t>gvm</w:t>
      </w:r>
      <w:proofErr w:type="spellEnd"/>
      <w:r w:rsidRPr="00531A23">
        <w:t xml:space="preserve">, the newly-revised directive caused the omission of individual returns and a decline in industry solutions as compared to the previous year. The motivation for the amendment was explicitly that “loopholes should be closed soon”, which had developed in these exceptional areas of the packaging directive (PM 0873/14 of the BMUB on 04/30/2014). </w:t>
      </w:r>
    </w:p>
    <w:p w:rsidR="00531A23" w:rsidRPr="00531A23" w:rsidRDefault="00531A23" w:rsidP="00531A23">
      <w:pPr>
        <w:jc w:val="both"/>
      </w:pPr>
    </w:p>
    <w:p w:rsidR="00531A23" w:rsidRDefault="00531A23" w:rsidP="00531A23">
      <w:pPr>
        <w:jc w:val="both"/>
      </w:pPr>
      <w:r w:rsidRPr="00531A23">
        <w:t xml:space="preserve">“Even after the readjustment of the calculation principles, the material utilization of packaging steel remains stable at more than 90%” asserts </w:t>
      </w:r>
      <w:proofErr w:type="spellStart"/>
      <w:r w:rsidRPr="00531A23">
        <w:t>Dr.</w:t>
      </w:r>
      <w:proofErr w:type="spellEnd"/>
      <w:r w:rsidRPr="00531A23">
        <w:t xml:space="preserve"> Peter Biele, CEO of thyssenkrupp Rasselstein GmbH, Germany's only tinplate manufacturer. “Thus our material considerably exceeds the legally-required threshold of the 70% utilization quota. We welcome the political efforts to present a packaging law that will further strengthen closed loop recycling management.”</w:t>
      </w:r>
    </w:p>
    <w:p w:rsidR="00531A23" w:rsidRPr="00531A23" w:rsidRDefault="00531A23" w:rsidP="00531A23">
      <w:pPr>
        <w:jc w:val="both"/>
      </w:pPr>
    </w:p>
    <w:p w:rsidR="00531A23" w:rsidRDefault="00531A23" w:rsidP="00531A23">
      <w:pPr>
        <w:jc w:val="both"/>
      </w:pPr>
      <w:r w:rsidRPr="00531A23">
        <w:t xml:space="preserve">Biele, who is being responsible for Packaging Steel since October 1, 2016, sees the steel company's extensive commitment to closing the cycle of potential recyclables as one important reason for the long-term high utilization. “We take product responsibility very </w:t>
      </w:r>
      <w:r w:rsidRPr="00531A23">
        <w:lastRenderedPageBreak/>
        <w:t xml:space="preserve">seriously, also with an eye to the further value chain. With the establishment of the DWR – Deutsche </w:t>
      </w:r>
      <w:proofErr w:type="spellStart"/>
      <w:r w:rsidRPr="00531A23">
        <w:t>Gesellschaft</w:t>
      </w:r>
      <w:proofErr w:type="spellEnd"/>
      <w:r w:rsidRPr="00531A23">
        <w:t xml:space="preserve"> für </w:t>
      </w:r>
      <w:proofErr w:type="spellStart"/>
      <w:r w:rsidRPr="00531A23">
        <w:t>Weißblechrecycling</w:t>
      </w:r>
      <w:proofErr w:type="spellEnd"/>
      <w:r w:rsidRPr="00531A23">
        <w:t xml:space="preserve"> </w:t>
      </w:r>
      <w:proofErr w:type="spellStart"/>
      <w:r w:rsidRPr="00531A23">
        <w:t>mbH</w:t>
      </w:r>
      <w:proofErr w:type="spellEnd"/>
      <w:r w:rsidRPr="00531A23">
        <w:t xml:space="preserve"> and substantial participation in the non-profit company </w:t>
      </w:r>
      <w:proofErr w:type="spellStart"/>
      <w:r w:rsidRPr="00531A23">
        <w:t>Kreislaufsystem</w:t>
      </w:r>
      <w:proofErr w:type="spellEnd"/>
      <w:r w:rsidRPr="00531A23">
        <w:t xml:space="preserve"> </w:t>
      </w:r>
      <w:proofErr w:type="spellStart"/>
      <w:r w:rsidRPr="00531A23">
        <w:t>Blechverpackungen</w:t>
      </w:r>
      <w:proofErr w:type="spellEnd"/>
      <w:r w:rsidRPr="00531A23">
        <w:t xml:space="preserve"> Stahl GmbH (KBS), thyssenkrupp is making an active contribution to the recycling both of privately-consumed steel packaging and commercially-produced quantities and ensuring proper, goal-oriented return to steel production.”</w:t>
      </w:r>
    </w:p>
    <w:p w:rsidR="00531A23" w:rsidRPr="00531A23" w:rsidRDefault="00531A23" w:rsidP="00531A23">
      <w:pPr>
        <w:jc w:val="both"/>
      </w:pPr>
    </w:p>
    <w:p w:rsidR="00531A23" w:rsidRPr="00531A23" w:rsidRDefault="00531A23" w:rsidP="00531A23">
      <w:pPr>
        <w:jc w:val="both"/>
      </w:pPr>
      <w:r w:rsidRPr="00531A23">
        <w:t xml:space="preserve">The magnetic property of steel allows a largely pure separation of steel packaging in all sorting processes. “We very much welcome the function of the dual systems for the assurance of a comprehensive collection and return of packaging. Nevertheless, packaging steel is also identified reliably and is not lost in all other disposal systems” explains DWR CEO Andreas Knein. </w:t>
      </w:r>
    </w:p>
    <w:p w:rsidR="00531A23" w:rsidRDefault="00531A23" w:rsidP="00531A23">
      <w:pPr>
        <w:pStyle w:val="Aboutus"/>
        <w:jc w:val="both"/>
        <w:rPr>
          <w:lang w:val="en-US"/>
        </w:rPr>
      </w:pPr>
    </w:p>
    <w:p w:rsidR="00531A23" w:rsidRPr="00693BD1" w:rsidRDefault="00531A23" w:rsidP="00531A23">
      <w:pPr>
        <w:pStyle w:val="Aboutus"/>
        <w:jc w:val="both"/>
        <w:rPr>
          <w:lang w:val="en-US"/>
        </w:rPr>
      </w:pPr>
      <w:r w:rsidRPr="00250865">
        <w:rPr>
          <w:lang w:val="en-US"/>
        </w:rPr>
        <w:t>About us:</w:t>
      </w:r>
    </w:p>
    <w:p w:rsidR="00531A23" w:rsidRPr="00531A23" w:rsidRDefault="00531A23" w:rsidP="00531A23">
      <w:pPr>
        <w:pStyle w:val="Aboutus"/>
        <w:jc w:val="both"/>
        <w:rPr>
          <w:lang w:val="en-US"/>
        </w:rPr>
      </w:pPr>
      <w:r w:rsidRPr="00531A23">
        <w:rPr>
          <w:lang w:val="en-US"/>
        </w:rPr>
        <w:t xml:space="preserve">In Andernach, Rhineland-Palatinate, thyssenkrupp produces approximately 1.5 million tonnes of packaging steel each year. In this largest location of its type worldwide, thyssenkrupp rolls steel to an extremely thin 0.100 mm thickness and finishes the surface with tin or chrome. Nearly all of the company's output is shipped to packaging producers around the world. In addition to cans for food and pet food, packaging steel is used for beverage and aerosol </w:t>
      </w:r>
      <w:proofErr w:type="gramStart"/>
      <w:r w:rsidRPr="00531A23">
        <w:rPr>
          <w:lang w:val="en-US"/>
        </w:rPr>
        <w:t>cans,</w:t>
      </w:r>
      <w:proofErr w:type="gramEnd"/>
      <w:r w:rsidRPr="00531A23">
        <w:rPr>
          <w:lang w:val="en-US"/>
        </w:rPr>
        <w:t xml:space="preserve"> containers for chemical and technical goods, as well as crown seals and twist-off tops. </w:t>
      </w:r>
      <w:proofErr w:type="gramStart"/>
      <w:r w:rsidRPr="00531A23">
        <w:rPr>
          <w:lang w:val="en-US"/>
        </w:rPr>
        <w:t>thyssenkrupp</w:t>
      </w:r>
      <w:proofErr w:type="gramEnd"/>
      <w:r w:rsidRPr="00531A23">
        <w:rPr>
          <w:lang w:val="en-US"/>
        </w:rPr>
        <w:t xml:space="preserve"> employs approximately 2,400 people in Andernach. </w:t>
      </w:r>
    </w:p>
    <w:p w:rsidR="00531A23" w:rsidRPr="00531A23" w:rsidRDefault="00531A23" w:rsidP="00531A23">
      <w:pPr>
        <w:jc w:val="both"/>
      </w:pPr>
    </w:p>
    <w:p w:rsidR="00531A23" w:rsidRPr="00531A23" w:rsidRDefault="00531A23" w:rsidP="00531A23">
      <w:pPr>
        <w:pStyle w:val="Aboutus"/>
        <w:jc w:val="both"/>
        <w:rPr>
          <w:lang w:val="en-US"/>
        </w:rPr>
      </w:pPr>
      <w:r w:rsidRPr="00531A23">
        <w:rPr>
          <w:lang w:val="en-US"/>
        </w:rPr>
        <w:t>Attachment</w:t>
      </w:r>
    </w:p>
    <w:p w:rsidR="00531A23" w:rsidRPr="00531A23" w:rsidRDefault="00531A23" w:rsidP="00531A23">
      <w:pPr>
        <w:pStyle w:val="Aboutus"/>
        <w:jc w:val="both"/>
        <w:rPr>
          <w:lang w:val="en-US"/>
        </w:rPr>
      </w:pPr>
      <w:r w:rsidRPr="00531A23">
        <w:rPr>
          <w:lang w:val="en-US"/>
        </w:rPr>
        <w:t xml:space="preserve">Tables “Tinplate Packaging Consumption” and “Utilization Quotas for Tinplate Packaging (source: GVM </w:t>
      </w:r>
      <w:proofErr w:type="spellStart"/>
      <w:r w:rsidRPr="00531A23">
        <w:rPr>
          <w:lang w:val="en-US"/>
        </w:rPr>
        <w:t>Gesellschaft</w:t>
      </w:r>
      <w:proofErr w:type="spellEnd"/>
      <w:r w:rsidRPr="00531A23">
        <w:rPr>
          <w:lang w:val="en-US"/>
        </w:rPr>
        <w:t xml:space="preserve"> für </w:t>
      </w:r>
      <w:proofErr w:type="spellStart"/>
      <w:r w:rsidRPr="00531A23">
        <w:rPr>
          <w:lang w:val="en-US"/>
        </w:rPr>
        <w:t>Verpackungsmarktforschung</w:t>
      </w:r>
      <w:proofErr w:type="spellEnd"/>
      <w:r w:rsidRPr="00531A23">
        <w:rPr>
          <w:lang w:val="en-US"/>
        </w:rPr>
        <w:t>, Recycling Balance Sheet for Packaging. Reporting year 2015, 23rd edition, Mainz, October 2016, p. 57 - 63)</w:t>
      </w:r>
    </w:p>
    <w:p w:rsidR="007F36DC" w:rsidRPr="009916DB" w:rsidRDefault="007F36DC" w:rsidP="007F36DC">
      <w:pPr>
        <w:jc w:val="both"/>
        <w:rPr>
          <w:sz w:val="18"/>
        </w:rPr>
      </w:pPr>
    </w:p>
    <w:p w:rsidR="007F36DC" w:rsidRDefault="007F36DC" w:rsidP="007F36DC">
      <w:pPr>
        <w:rPr>
          <w:sz w:val="22"/>
        </w:rPr>
      </w:pPr>
      <w:r>
        <w:rPr>
          <w:noProof/>
          <w:sz w:val="22"/>
          <w:lang w:val="de-DE" w:eastAsia="de-DE"/>
        </w:rPr>
        <w:drawing>
          <wp:inline distT="0" distB="0" distL="0" distR="0" wp14:anchorId="07DE00E1" wp14:editId="6AD469CA">
            <wp:extent cx="4673354" cy="2148840"/>
            <wp:effectExtent l="0" t="0" r="0" b="3810"/>
            <wp:docPr id="4" name="Grafik 4" descr="J:\VERTRIEB\MKP\Presse\Pressemitteilungen\Recyclingquote\2016 für 201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VERTRIEB\MKP\Presse\Pressemitteilungen\Recyclingquote\2016 für 2015\7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2679" cy="2153128"/>
                    </a:xfrm>
                    <a:prstGeom prst="rect">
                      <a:avLst/>
                    </a:prstGeom>
                    <a:noFill/>
                    <a:ln>
                      <a:noFill/>
                    </a:ln>
                  </pic:spPr>
                </pic:pic>
              </a:graphicData>
            </a:graphic>
          </wp:inline>
        </w:drawing>
      </w:r>
    </w:p>
    <w:p w:rsidR="007F36DC" w:rsidRDefault="007F36DC" w:rsidP="007F36DC">
      <w:pPr>
        <w:rPr>
          <w:sz w:val="22"/>
        </w:rPr>
      </w:pPr>
    </w:p>
    <w:p w:rsidR="007F36DC" w:rsidRDefault="007F36DC" w:rsidP="007F36DC">
      <w:pPr>
        <w:rPr>
          <w:sz w:val="22"/>
        </w:rPr>
      </w:pPr>
    </w:p>
    <w:p w:rsidR="007F36DC" w:rsidRDefault="007F36DC" w:rsidP="007F36DC">
      <w:pPr>
        <w:rPr>
          <w:sz w:val="22"/>
        </w:rPr>
      </w:pPr>
      <w:r>
        <w:rPr>
          <w:noProof/>
          <w:sz w:val="22"/>
          <w:lang w:val="de-DE" w:eastAsia="de-DE"/>
        </w:rPr>
        <w:lastRenderedPageBreak/>
        <w:drawing>
          <wp:inline distT="0" distB="0" distL="0" distR="0" wp14:anchorId="71EB511B" wp14:editId="6B937A35">
            <wp:extent cx="4647600" cy="2546733"/>
            <wp:effectExtent l="0" t="0" r="635" b="6350"/>
            <wp:docPr id="7" name="Grafik 7" descr="J:\VERTRIEB\MKP\Presse\Pressemitteilungen\Recyclingquote\2016 für 2015\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VERTRIEB\MKP\Presse\Pressemitteilungen\Recyclingquote\2016 für 2015\7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7600" cy="2546733"/>
                    </a:xfrm>
                    <a:prstGeom prst="rect">
                      <a:avLst/>
                    </a:prstGeom>
                    <a:noFill/>
                    <a:ln>
                      <a:noFill/>
                    </a:ln>
                  </pic:spPr>
                </pic:pic>
              </a:graphicData>
            </a:graphic>
          </wp:inline>
        </w:drawing>
      </w:r>
    </w:p>
    <w:p w:rsidR="007F36DC" w:rsidRDefault="007F36DC" w:rsidP="007F36DC">
      <w:pPr>
        <w:rPr>
          <w:sz w:val="22"/>
        </w:rPr>
      </w:pPr>
    </w:p>
    <w:p w:rsidR="007F36DC" w:rsidRDefault="007F36DC" w:rsidP="007F36DC">
      <w:pPr>
        <w:rPr>
          <w:noProof/>
          <w:sz w:val="22"/>
          <w:lang w:eastAsia="de-DE"/>
        </w:rPr>
      </w:pPr>
    </w:p>
    <w:p w:rsidR="007F36DC" w:rsidRDefault="007F36DC" w:rsidP="007F36DC">
      <w:pPr>
        <w:rPr>
          <w:sz w:val="22"/>
        </w:rPr>
      </w:pPr>
      <w:r>
        <w:rPr>
          <w:noProof/>
          <w:sz w:val="22"/>
          <w:lang w:val="de-DE" w:eastAsia="de-DE"/>
        </w:rPr>
        <w:drawing>
          <wp:inline distT="0" distB="0" distL="0" distR="0" wp14:anchorId="13C437C5" wp14:editId="699C456C">
            <wp:extent cx="3845112" cy="2415540"/>
            <wp:effectExtent l="0" t="0" r="0" b="0"/>
            <wp:docPr id="8" name="Grafik 8" descr="J:\VERTRIEB\MKP\Presse\Pressemitteilungen\Recyclingquote\2016 für 2015\Stoffliche Wiederverwertungsrate 2015 in Deutschland 90,7 Proz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VERTRIEB\MKP\Presse\Pressemitteilungen\Recyclingquote\2016 für 2015\Stoffliche Wiederverwertungsrate 2015 in Deutschland 90,7 Prozent.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6066"/>
                    <a:stretch/>
                  </pic:blipFill>
                  <pic:spPr bwMode="auto">
                    <a:xfrm>
                      <a:off x="0" y="0"/>
                      <a:ext cx="3846708" cy="2416542"/>
                    </a:xfrm>
                    <a:prstGeom prst="rect">
                      <a:avLst/>
                    </a:prstGeom>
                    <a:noFill/>
                    <a:ln>
                      <a:noFill/>
                    </a:ln>
                    <a:extLst>
                      <a:ext uri="{53640926-AAD7-44D8-BBD7-CCE9431645EC}">
                        <a14:shadowObscured xmlns:a14="http://schemas.microsoft.com/office/drawing/2010/main"/>
                      </a:ext>
                    </a:extLst>
                  </pic:spPr>
                </pic:pic>
              </a:graphicData>
            </a:graphic>
          </wp:inline>
        </w:drawing>
      </w:r>
    </w:p>
    <w:p w:rsidR="00250865" w:rsidRDefault="00250865" w:rsidP="00250865">
      <w:pPr>
        <w:spacing w:after="160" w:line="259" w:lineRule="auto"/>
      </w:pPr>
    </w:p>
    <w:p w:rsidR="00250865" w:rsidRPr="007F36DC" w:rsidRDefault="00250865" w:rsidP="00250865">
      <w:pPr>
        <w:rPr>
          <w:lang w:val="de-DE"/>
        </w:rPr>
      </w:pPr>
      <w:proofErr w:type="spellStart"/>
      <w:r w:rsidRPr="007F36DC">
        <w:rPr>
          <w:lang w:val="de-DE"/>
        </w:rPr>
        <w:t>Contact</w:t>
      </w:r>
      <w:proofErr w:type="spellEnd"/>
      <w:r w:rsidRPr="007F36DC">
        <w:rPr>
          <w:lang w:val="de-DE"/>
        </w:rPr>
        <w:t>:</w:t>
      </w:r>
    </w:p>
    <w:p w:rsidR="00250865" w:rsidRPr="007F36DC" w:rsidRDefault="00250865" w:rsidP="00DC7499">
      <w:pPr>
        <w:tabs>
          <w:tab w:val="left" w:pos="3969"/>
        </w:tabs>
        <w:rPr>
          <w:lang w:val="de-DE"/>
        </w:rPr>
      </w:pPr>
      <w:r w:rsidRPr="007F36DC">
        <w:rPr>
          <w:lang w:val="de-DE"/>
        </w:rPr>
        <w:t xml:space="preserve">thyssenkrupp </w:t>
      </w:r>
      <w:r w:rsidR="003A46CB" w:rsidRPr="007F36DC">
        <w:rPr>
          <w:lang w:val="de-DE"/>
        </w:rPr>
        <w:t>Steel</w:t>
      </w:r>
      <w:r w:rsidR="00BF1BD5" w:rsidRPr="007F36DC">
        <w:rPr>
          <w:lang w:val="de-DE"/>
        </w:rPr>
        <w:t xml:space="preserve"> Europe AG</w:t>
      </w:r>
      <w:r w:rsidR="007F36DC" w:rsidRPr="007F36DC">
        <w:rPr>
          <w:lang w:val="de-DE"/>
        </w:rPr>
        <w:tab/>
        <w:t>thyssenkrupp Rasselstein GmbH</w:t>
      </w:r>
    </w:p>
    <w:p w:rsidR="00250865" w:rsidRDefault="003A46CB" w:rsidP="00DC7499">
      <w:pPr>
        <w:tabs>
          <w:tab w:val="left" w:pos="3969"/>
        </w:tabs>
      </w:pPr>
      <w:r>
        <w:t>Erik Walner</w:t>
      </w:r>
      <w:r w:rsidR="007F36DC">
        <w:tab/>
        <w:t xml:space="preserve">Volker </w:t>
      </w:r>
      <w:proofErr w:type="spellStart"/>
      <w:r w:rsidR="007F36DC">
        <w:t>Lauterjung</w:t>
      </w:r>
      <w:proofErr w:type="spellEnd"/>
    </w:p>
    <w:p w:rsidR="00250865" w:rsidRDefault="003A46CB" w:rsidP="00DC7499">
      <w:pPr>
        <w:tabs>
          <w:tab w:val="left" w:pos="3969"/>
        </w:tabs>
      </w:pPr>
      <w:r>
        <w:t>Head of Media Relations</w:t>
      </w:r>
      <w:r w:rsidR="007F36DC">
        <w:tab/>
        <w:t>Head of Communications</w:t>
      </w:r>
    </w:p>
    <w:p w:rsidR="003A46CB" w:rsidRPr="00531A23" w:rsidRDefault="00250865" w:rsidP="00DC7499">
      <w:pPr>
        <w:tabs>
          <w:tab w:val="left" w:pos="3969"/>
        </w:tabs>
        <w:rPr>
          <w:lang w:val="de-DE"/>
        </w:rPr>
      </w:pPr>
      <w:r w:rsidRPr="00531A23">
        <w:rPr>
          <w:lang w:val="de-DE"/>
        </w:rPr>
        <w:t>T: +</w:t>
      </w:r>
      <w:r w:rsidR="003A46CB" w:rsidRPr="00531A23">
        <w:rPr>
          <w:lang w:val="de-DE"/>
        </w:rPr>
        <w:t>49 203 52</w:t>
      </w:r>
      <w:r w:rsidR="003A46CB" w:rsidRPr="00531A23">
        <w:rPr>
          <w:rFonts w:ascii="Arial" w:hAnsi="Arial" w:cs="Arial"/>
          <w:lang w:val="de-DE"/>
        </w:rPr>
        <w:t> </w:t>
      </w:r>
      <w:r w:rsidR="003A46CB" w:rsidRPr="00531A23">
        <w:rPr>
          <w:lang w:val="de-DE"/>
        </w:rPr>
        <w:t>-</w:t>
      </w:r>
      <w:r w:rsidR="003A46CB" w:rsidRPr="00531A23">
        <w:rPr>
          <w:rFonts w:ascii="Arial" w:hAnsi="Arial" w:cs="Arial"/>
          <w:lang w:val="de-DE"/>
        </w:rPr>
        <w:t> </w:t>
      </w:r>
      <w:r w:rsidR="003A46CB" w:rsidRPr="00531A23">
        <w:rPr>
          <w:lang w:val="de-DE"/>
        </w:rPr>
        <w:t>45130</w:t>
      </w:r>
      <w:r w:rsidR="00DC7499">
        <w:rPr>
          <w:lang w:val="de-DE"/>
        </w:rPr>
        <w:tab/>
        <w:t>T: +49 2632 3097</w:t>
      </w:r>
      <w:r w:rsidR="00DC7499" w:rsidRPr="00531A23">
        <w:rPr>
          <w:rFonts w:ascii="Arial" w:hAnsi="Arial" w:cs="Arial"/>
          <w:lang w:val="de-DE"/>
        </w:rPr>
        <w:t> </w:t>
      </w:r>
      <w:r w:rsidR="00DC7499" w:rsidRPr="00531A23">
        <w:rPr>
          <w:lang w:val="de-DE"/>
        </w:rPr>
        <w:t>-</w:t>
      </w:r>
      <w:r w:rsidR="00DC7499" w:rsidRPr="00531A23">
        <w:rPr>
          <w:rFonts w:ascii="Arial" w:hAnsi="Arial" w:cs="Arial"/>
          <w:lang w:val="de-DE"/>
        </w:rPr>
        <w:t> </w:t>
      </w:r>
      <w:r w:rsidR="00DC7499">
        <w:rPr>
          <w:lang w:val="de-DE"/>
        </w:rPr>
        <w:t>2875</w:t>
      </w:r>
    </w:p>
    <w:p w:rsidR="003A46CB" w:rsidRPr="00531A23" w:rsidRDefault="003A46CB" w:rsidP="00DC7499">
      <w:pPr>
        <w:tabs>
          <w:tab w:val="left" w:pos="3969"/>
        </w:tabs>
        <w:rPr>
          <w:lang w:val="de-DE"/>
        </w:rPr>
      </w:pPr>
      <w:r w:rsidRPr="00531A23">
        <w:rPr>
          <w:lang w:val="de-DE"/>
        </w:rPr>
        <w:t>erik.walner@thyssenkrupp.com</w:t>
      </w:r>
      <w:r w:rsidR="00DC7499">
        <w:rPr>
          <w:lang w:val="de-DE"/>
        </w:rPr>
        <w:tab/>
        <w:t>volker.lauterjung@thyssenkrupp.com</w:t>
      </w:r>
    </w:p>
    <w:p w:rsidR="003A46CB" w:rsidRPr="00531A23" w:rsidRDefault="003A46CB" w:rsidP="00DC7499">
      <w:pPr>
        <w:tabs>
          <w:tab w:val="left" w:pos="3969"/>
        </w:tabs>
        <w:rPr>
          <w:lang w:val="de-DE"/>
        </w:rPr>
      </w:pPr>
      <w:r w:rsidRPr="00531A23">
        <w:rPr>
          <w:lang w:val="de-DE"/>
        </w:rPr>
        <w:t xml:space="preserve">www.thyssenkrupp-steel.com </w:t>
      </w:r>
    </w:p>
    <w:p w:rsidR="00250865" w:rsidRPr="00531A23" w:rsidRDefault="00250865" w:rsidP="003A46CB">
      <w:pPr>
        <w:rPr>
          <w:lang w:val="de-DE"/>
        </w:rPr>
      </w:pPr>
    </w:p>
    <w:p w:rsidR="004F1447" w:rsidRPr="00E8562E" w:rsidRDefault="004F1447" w:rsidP="004F1447">
      <w:pPr>
        <w:rPr>
          <w:rFonts w:ascii="TKTypeRegular" w:hAnsi="TKTypeRegular"/>
          <w:sz w:val="18"/>
          <w:szCs w:val="18"/>
          <w:lang w:val="en-US"/>
        </w:rPr>
      </w:pPr>
      <w:r w:rsidRPr="00E8562E">
        <w:rPr>
          <w:rFonts w:ascii="TKTypeRegular" w:hAnsi="TKTypeRegular"/>
          <w:sz w:val="18"/>
          <w:szCs w:val="18"/>
          <w:lang w:val="en-US"/>
        </w:rPr>
        <w:t xml:space="preserve">Company blog: </w:t>
      </w:r>
      <w:hyperlink r:id="rId12" w:history="1">
        <w:r w:rsidRPr="00EE2A42">
          <w:rPr>
            <w:rStyle w:val="Hyperlink"/>
            <w:lang w:val="en-US"/>
          </w:rPr>
          <w:t>https://engineered.thyssenkrupp.com</w:t>
        </w:r>
      </w:hyperlink>
    </w:p>
    <w:sectPr w:rsidR="004F1447" w:rsidRPr="00E8562E" w:rsidSect="008D3DFA">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CB" w:rsidRDefault="003A46CB" w:rsidP="005B5ABA">
      <w:pPr>
        <w:spacing w:line="240" w:lineRule="auto"/>
      </w:pPr>
      <w:r>
        <w:separator/>
      </w:r>
    </w:p>
  </w:endnote>
  <w:endnote w:type="continuationSeparator" w:id="0">
    <w:p w:rsidR="003A46CB" w:rsidRDefault="003A46C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22" w:rsidRDefault="000936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07" w:rsidRDefault="00250865">
    <w:pPr>
      <w:pStyle w:val="Fuzeile"/>
    </w:pPr>
    <w:r>
      <w:rPr>
        <w:noProof/>
        <w:lang w:val="de-DE" w:eastAsia="de-DE"/>
      </w:rPr>
      <mc:AlternateContent>
        <mc:Choice Requires="wps">
          <w:drawing>
            <wp:anchor distT="180340" distB="0" distL="114300" distR="114300" simplePos="0" relativeHeight="251683840" behindDoc="0" locked="0" layoutInCell="1" allowOverlap="1" wp14:anchorId="19B9D9B9" wp14:editId="09E2450F">
              <wp:simplePos x="0" y="0"/>
              <wp:positionH relativeFrom="page">
                <wp:posOffset>492760</wp:posOffset>
              </wp:positionH>
              <wp:positionV relativeFrom="page">
                <wp:posOffset>9525635</wp:posOffset>
              </wp:positionV>
              <wp:extent cx="6750050" cy="744855"/>
              <wp:effectExtent l="0" t="0" r="0" b="0"/>
              <wp:wrapTopAndBottom/>
              <wp:docPr id="6" name="Rechteck 6"/>
              <wp:cNvGraphicFramePr/>
              <a:graphic xmlns:a="http://schemas.openxmlformats.org/drawingml/2006/main">
                <a:graphicData uri="http://schemas.microsoft.com/office/word/2010/wordprocessingShape">
                  <wps:wsp>
                    <wps:cNvSpPr/>
                    <wps:spPr>
                      <a:xfrm>
                        <a:off x="0" y="0"/>
                        <a:ext cx="67500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531A23" w:rsidRDefault="003A46CB" w:rsidP="003A46CB">
                          <w:pPr>
                            <w:pStyle w:val="Fuzeile"/>
                            <w:tabs>
                              <w:tab w:val="clear" w:pos="4536"/>
                              <w:tab w:val="clear" w:pos="9072"/>
                              <w:tab w:val="left" w:pos="567"/>
                            </w:tabs>
                            <w:spacing w:line="200" w:lineRule="exact"/>
                            <w:rPr>
                              <w:rFonts w:asciiTheme="majorHAnsi" w:hAnsiTheme="majorHAnsi"/>
                              <w:szCs w:val="14"/>
                              <w:lang w:val="de-DE"/>
                            </w:rPr>
                          </w:pPr>
                          <w:r w:rsidRPr="00531A23">
                            <w:rPr>
                              <w:rFonts w:asciiTheme="majorHAnsi" w:hAnsiTheme="majorHAnsi"/>
                              <w:szCs w:val="14"/>
                              <w:lang w:val="de-DE"/>
                            </w:rPr>
                            <w:t>thyssenkrupp Steel Europe AG, Kaiser-Wilhelm-Straße 100, 47166 Duisburg, Germany, P: +49 203 52 -25168, press@thyssenkrupp.com, www.thyssenkrupp-steel.com</w:t>
                          </w:r>
                        </w:p>
                        <w:p w:rsidR="00093622"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Chairman</w:t>
                          </w:r>
                          <w:r w:rsidRPr="00017C1F">
                            <w:rPr>
                              <w:rFonts w:asciiTheme="majorHAnsi" w:hAnsiTheme="majorHAnsi"/>
                              <w:szCs w:val="14"/>
                            </w:rPr>
                            <w:t xml:space="preserve">, </w:t>
                          </w:r>
                          <w:r>
                            <w:rPr>
                              <w:rFonts w:asciiTheme="majorHAnsi" w:hAnsiTheme="majorHAnsi"/>
                              <w:szCs w:val="14"/>
                            </w:rPr>
                            <w:t xml:space="preserve">Premal A. Desai, </w:t>
                          </w:r>
                          <w:proofErr w:type="spellStart"/>
                          <w:r>
                            <w:rPr>
                              <w:rFonts w:asciiTheme="majorHAnsi" w:hAnsiTheme="majorHAnsi"/>
                              <w:szCs w:val="14"/>
                            </w:rPr>
                            <w:t>Dr.</w:t>
                          </w:r>
                          <w:proofErr w:type="spellEnd"/>
                          <w:r>
                            <w:rPr>
                              <w:rFonts w:asciiTheme="majorHAnsi" w:hAnsiTheme="majorHAnsi"/>
                              <w:szCs w:val="14"/>
                            </w:rPr>
                            <w:t xml:space="preserve"> Herbert Eichelkraut, </w:t>
                          </w:r>
                        </w:p>
                        <w:p w:rsidR="003A46CB" w:rsidRPr="00531A23" w:rsidRDefault="003A46CB" w:rsidP="003A46CB">
                          <w:pPr>
                            <w:pStyle w:val="Fuzeile"/>
                            <w:tabs>
                              <w:tab w:val="clear" w:pos="4536"/>
                              <w:tab w:val="clear" w:pos="9072"/>
                              <w:tab w:val="left" w:pos="4082"/>
                            </w:tabs>
                            <w:spacing w:line="200" w:lineRule="exact"/>
                            <w:rPr>
                              <w:rFonts w:asciiTheme="majorHAnsi" w:hAnsiTheme="majorHAnsi"/>
                              <w:szCs w:val="14"/>
                              <w:lang w:val="de-DE"/>
                            </w:rPr>
                          </w:pPr>
                          <w:r w:rsidRPr="00531A23">
                            <w:rPr>
                              <w:rFonts w:asciiTheme="majorHAnsi" w:hAnsiTheme="majorHAnsi"/>
                              <w:szCs w:val="14"/>
                              <w:lang w:val="de-DE"/>
                            </w:rPr>
                            <w:t>Dr. Heribert R. Fischer, Thomas Schlenz</w:t>
                          </w:r>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38.8pt;margin-top:750.05pt;width:531.5pt;height:58.65pt;z-index:2516838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" filled="f" stroked="f" strokeweight="1pt">
              <v:textbox inset="0,0,0,0">
                <w:txbxContent>
                  <w:p w:rsidR="003A46CB" w:rsidRPr="00531A23" w:rsidRDefault="003A46CB" w:rsidP="003A46CB">
                    <w:pPr>
                      <w:pStyle w:val="Fuzeile"/>
                      <w:tabs>
                        <w:tab w:val="clear" w:pos="4536"/>
                        <w:tab w:val="clear" w:pos="9072"/>
                        <w:tab w:val="left" w:pos="567"/>
                      </w:tabs>
                      <w:spacing w:line="200" w:lineRule="exact"/>
                      <w:rPr>
                        <w:rFonts w:asciiTheme="majorHAnsi" w:hAnsiTheme="majorHAnsi"/>
                        <w:szCs w:val="14"/>
                        <w:lang w:val="de-DE"/>
                      </w:rPr>
                    </w:pPr>
                    <w:r w:rsidRPr="00531A23">
                      <w:rPr>
                        <w:rFonts w:asciiTheme="majorHAnsi" w:hAnsiTheme="majorHAnsi"/>
                        <w:szCs w:val="14"/>
                        <w:lang w:val="de-DE"/>
                      </w:rPr>
                      <w:t>thyssenkrupp Steel Europe AG, Kaiser-Wilhelm-Straße 100, 47166 Duisburg, Germany, P: +49 203 52 -25168, press@thyssenkrupp.com, www.thyssenkrupp-steel.com</w:t>
                    </w:r>
                  </w:p>
                  <w:p w:rsidR="00093622"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Chairman</w:t>
                    </w:r>
                    <w:r w:rsidRPr="00017C1F">
                      <w:rPr>
                        <w:rFonts w:asciiTheme="majorHAnsi" w:hAnsiTheme="majorHAnsi"/>
                        <w:szCs w:val="14"/>
                      </w:rPr>
                      <w:t xml:space="preserve">, </w:t>
                    </w:r>
                    <w:r>
                      <w:rPr>
                        <w:rFonts w:asciiTheme="majorHAnsi" w:hAnsiTheme="majorHAnsi"/>
                        <w:szCs w:val="14"/>
                      </w:rPr>
                      <w:t xml:space="preserve">Premal A. Desai, </w:t>
                    </w:r>
                    <w:proofErr w:type="spellStart"/>
                    <w:r>
                      <w:rPr>
                        <w:rFonts w:asciiTheme="majorHAnsi" w:hAnsiTheme="majorHAnsi"/>
                        <w:szCs w:val="14"/>
                      </w:rPr>
                      <w:t>Dr.</w:t>
                    </w:r>
                    <w:proofErr w:type="spellEnd"/>
                    <w:r>
                      <w:rPr>
                        <w:rFonts w:asciiTheme="majorHAnsi" w:hAnsiTheme="majorHAnsi"/>
                        <w:szCs w:val="14"/>
                      </w:rPr>
                      <w:t xml:space="preserve"> Herbert Eichelkraut, </w:t>
                    </w:r>
                  </w:p>
                  <w:p w:rsidR="003A46CB" w:rsidRPr="00531A23" w:rsidRDefault="003A46CB" w:rsidP="003A46CB">
                    <w:pPr>
                      <w:pStyle w:val="Fuzeile"/>
                      <w:tabs>
                        <w:tab w:val="clear" w:pos="4536"/>
                        <w:tab w:val="clear" w:pos="9072"/>
                        <w:tab w:val="left" w:pos="4082"/>
                      </w:tabs>
                      <w:spacing w:line="200" w:lineRule="exact"/>
                      <w:rPr>
                        <w:rFonts w:asciiTheme="majorHAnsi" w:hAnsiTheme="majorHAnsi"/>
                        <w:szCs w:val="14"/>
                        <w:lang w:val="de-DE"/>
                      </w:rPr>
                    </w:pPr>
                    <w:r w:rsidRPr="00531A23">
                      <w:rPr>
                        <w:rFonts w:asciiTheme="majorHAnsi" w:hAnsiTheme="majorHAnsi"/>
                        <w:szCs w:val="14"/>
                        <w:lang w:val="de-DE"/>
                      </w:rPr>
                      <w:t>Dr. Heribert R. Fischer, Thomas Schlenz</w:t>
                    </w:r>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36905525" wp14:editId="5A1F333F">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531A23" w:rsidRDefault="003A46CB" w:rsidP="003A46CB">
                          <w:pPr>
                            <w:pStyle w:val="Fuzeile"/>
                            <w:tabs>
                              <w:tab w:val="clear" w:pos="4536"/>
                              <w:tab w:val="clear" w:pos="9072"/>
                              <w:tab w:val="left" w:pos="567"/>
                            </w:tabs>
                            <w:spacing w:line="200" w:lineRule="exact"/>
                            <w:rPr>
                              <w:rFonts w:asciiTheme="majorHAnsi" w:hAnsiTheme="majorHAnsi"/>
                              <w:szCs w:val="14"/>
                              <w:lang w:val="de-DE"/>
                            </w:rPr>
                          </w:pPr>
                          <w:r w:rsidRPr="00531A23">
                            <w:rPr>
                              <w:rFonts w:asciiTheme="majorHAnsi" w:hAnsiTheme="majorHAnsi"/>
                              <w:szCs w:val="14"/>
                              <w:lang w:val="de-DE"/>
                            </w:rPr>
                            <w:t>thyssenkrupp Steel Europe AG, Kaiser-Wilhelm-Straße 100, 47166 Duisburg, Germany, P: +49 203 52 -25168, press@thyssenkrupp.com, www.thyssenkrupp-steel.com</w:t>
                          </w:r>
                        </w:p>
                        <w:p w:rsidR="00093622"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Chairman</w:t>
                          </w:r>
                          <w:r w:rsidRPr="00017C1F">
                            <w:rPr>
                              <w:rFonts w:asciiTheme="majorHAnsi" w:hAnsiTheme="majorHAnsi"/>
                              <w:szCs w:val="14"/>
                            </w:rPr>
                            <w:t xml:space="preserve">, </w:t>
                          </w:r>
                          <w:r>
                            <w:rPr>
                              <w:rFonts w:asciiTheme="majorHAnsi" w:hAnsiTheme="majorHAnsi"/>
                              <w:szCs w:val="14"/>
                            </w:rPr>
                            <w:t xml:space="preserve">Premal A. Desai, </w:t>
                          </w:r>
                          <w:proofErr w:type="spellStart"/>
                          <w:r>
                            <w:rPr>
                              <w:rFonts w:asciiTheme="majorHAnsi" w:hAnsiTheme="majorHAnsi"/>
                              <w:szCs w:val="14"/>
                            </w:rPr>
                            <w:t>Dr.</w:t>
                          </w:r>
                          <w:proofErr w:type="spellEnd"/>
                          <w:r>
                            <w:rPr>
                              <w:rFonts w:asciiTheme="majorHAnsi" w:hAnsiTheme="majorHAnsi"/>
                              <w:szCs w:val="14"/>
                            </w:rPr>
                            <w:t xml:space="preserve"> Herbert Eichelkraut, </w:t>
                          </w:r>
                        </w:p>
                        <w:p w:rsidR="003A46CB" w:rsidRPr="00531A23" w:rsidRDefault="003A46CB" w:rsidP="003A46CB">
                          <w:pPr>
                            <w:pStyle w:val="Fuzeile"/>
                            <w:tabs>
                              <w:tab w:val="clear" w:pos="4536"/>
                              <w:tab w:val="clear" w:pos="9072"/>
                              <w:tab w:val="left" w:pos="4082"/>
                            </w:tabs>
                            <w:spacing w:line="200" w:lineRule="exact"/>
                            <w:rPr>
                              <w:rFonts w:asciiTheme="majorHAnsi" w:hAnsiTheme="majorHAnsi"/>
                              <w:szCs w:val="14"/>
                              <w:lang w:val="de-DE"/>
                            </w:rPr>
                          </w:pPr>
                          <w:r w:rsidRPr="00531A23">
                            <w:rPr>
                              <w:rFonts w:asciiTheme="majorHAnsi" w:hAnsiTheme="majorHAnsi"/>
                              <w:szCs w:val="14"/>
                              <w:lang w:val="de-DE"/>
                            </w:rPr>
                            <w:t>Dr. Heribert R. Fischer, Thomas Schlenz</w:t>
                          </w:r>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" filled="f" stroked="f" strokeweight="1pt">
              <v:textbox inset="0,0,0,0">
                <w:txbxContent>
                  <w:p w:rsidR="003A46CB" w:rsidRPr="00531A23" w:rsidRDefault="003A46CB" w:rsidP="003A46CB">
                    <w:pPr>
                      <w:pStyle w:val="Fuzeile"/>
                      <w:tabs>
                        <w:tab w:val="clear" w:pos="4536"/>
                        <w:tab w:val="clear" w:pos="9072"/>
                        <w:tab w:val="left" w:pos="567"/>
                      </w:tabs>
                      <w:spacing w:line="200" w:lineRule="exact"/>
                      <w:rPr>
                        <w:rFonts w:asciiTheme="majorHAnsi" w:hAnsiTheme="majorHAnsi"/>
                        <w:szCs w:val="14"/>
                        <w:lang w:val="de-DE"/>
                      </w:rPr>
                    </w:pPr>
                    <w:r w:rsidRPr="00531A23">
                      <w:rPr>
                        <w:rFonts w:asciiTheme="majorHAnsi" w:hAnsiTheme="majorHAnsi"/>
                        <w:szCs w:val="14"/>
                        <w:lang w:val="de-DE"/>
                      </w:rPr>
                      <w:t>thyssenkrupp Steel Europe AG, Kaiser-Wilhelm-Straße 100, 47166 Duisburg, Germany, P: +49 203 52 -25168, press@thyssenkrupp.com, www.thyssenkrupp-steel.com</w:t>
                    </w:r>
                  </w:p>
                  <w:p w:rsidR="00093622"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Chairman</w:t>
                    </w:r>
                    <w:r w:rsidRPr="00017C1F">
                      <w:rPr>
                        <w:rFonts w:asciiTheme="majorHAnsi" w:hAnsiTheme="majorHAnsi"/>
                        <w:szCs w:val="14"/>
                      </w:rPr>
                      <w:t xml:space="preserve">, </w:t>
                    </w:r>
                    <w:r>
                      <w:rPr>
                        <w:rFonts w:asciiTheme="majorHAnsi" w:hAnsiTheme="majorHAnsi"/>
                        <w:szCs w:val="14"/>
                      </w:rPr>
                      <w:t xml:space="preserve">Premal A. Desai, </w:t>
                    </w:r>
                    <w:proofErr w:type="spellStart"/>
                    <w:r>
                      <w:rPr>
                        <w:rFonts w:asciiTheme="majorHAnsi" w:hAnsiTheme="majorHAnsi"/>
                        <w:szCs w:val="14"/>
                      </w:rPr>
                      <w:t>Dr.</w:t>
                    </w:r>
                    <w:proofErr w:type="spellEnd"/>
                    <w:r>
                      <w:rPr>
                        <w:rFonts w:asciiTheme="majorHAnsi" w:hAnsiTheme="majorHAnsi"/>
                        <w:szCs w:val="14"/>
                      </w:rPr>
                      <w:t xml:space="preserve"> Herbert Eichelkraut, </w:t>
                    </w:r>
                  </w:p>
                  <w:p w:rsidR="003A46CB" w:rsidRPr="00531A23" w:rsidRDefault="003A46CB" w:rsidP="003A46CB">
                    <w:pPr>
                      <w:pStyle w:val="Fuzeile"/>
                      <w:tabs>
                        <w:tab w:val="clear" w:pos="4536"/>
                        <w:tab w:val="clear" w:pos="9072"/>
                        <w:tab w:val="left" w:pos="4082"/>
                      </w:tabs>
                      <w:spacing w:line="200" w:lineRule="exact"/>
                      <w:rPr>
                        <w:rFonts w:asciiTheme="majorHAnsi" w:hAnsiTheme="majorHAnsi"/>
                        <w:szCs w:val="14"/>
                        <w:lang w:val="de-DE"/>
                      </w:rPr>
                    </w:pPr>
                    <w:r w:rsidRPr="00531A23">
                      <w:rPr>
                        <w:rFonts w:asciiTheme="majorHAnsi" w:hAnsiTheme="majorHAnsi"/>
                        <w:szCs w:val="14"/>
                        <w:lang w:val="de-DE"/>
                      </w:rPr>
                      <w:t>Dr. Heribert R. Fischer, Thomas Schlenz</w:t>
                    </w:r>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CB" w:rsidRDefault="003A46CB" w:rsidP="005B5ABA">
      <w:pPr>
        <w:spacing w:line="240" w:lineRule="auto"/>
      </w:pPr>
      <w:r>
        <w:separator/>
      </w:r>
    </w:p>
  </w:footnote>
  <w:footnote w:type="continuationSeparator" w:id="0">
    <w:p w:rsidR="003A46CB" w:rsidRDefault="003A46C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22" w:rsidRDefault="0009362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7EEFAE6D" wp14:editId="4C03841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3DEEF677" wp14:editId="13720F1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655A29" w:rsidP="001E7E0A">
                          <w:pPr>
                            <w:pStyle w:val="Datefield"/>
                            <w:rPr>
                              <w:lang w:val="de-DE"/>
                            </w:rPr>
                          </w:pPr>
                          <w:r>
                            <w:fldChar w:fldCharType="begin"/>
                          </w:r>
                          <w:r>
                            <w:instrText xml:space="preserve"> STYLEREF  "Date field"  \* MERGEFORMAT </w:instrText>
                          </w:r>
                          <w:r>
                            <w:fldChar w:fldCharType="separate"/>
                          </w:r>
                          <w:r w:rsidR="0035338F">
                            <w:rPr>
                              <w:noProof/>
                            </w:rPr>
                            <w:t>01.12.2016</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35338F">
                            <w:rPr>
                              <w:noProof/>
                            </w:rPr>
                            <w:t>2</w:t>
                          </w:r>
                          <w:r w:rsidR="00490007">
                            <w:fldChar w:fldCharType="end"/>
                          </w:r>
                          <w:r w:rsidR="00490007">
                            <w:t>/</w:t>
                          </w:r>
                          <w:r w:rsidR="0035338F">
                            <w:fldChar w:fldCharType="begin"/>
                          </w:r>
                          <w:r w:rsidR="0035338F">
                            <w:instrText xml:space="preserve"> NUMPAGES   \* MERGEFORMAT </w:instrText>
                          </w:r>
                          <w:r w:rsidR="0035338F">
                            <w:fldChar w:fldCharType="separate"/>
                          </w:r>
                          <w:r w:rsidR="0035338F">
                            <w:rPr>
                              <w:noProof/>
                            </w:rPr>
                            <w:t>3</w:t>
                          </w:r>
                          <w:r w:rsidR="0035338F">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655A29" w:rsidP="001E7E0A">
                    <w:pPr>
                      <w:pStyle w:val="Datefield"/>
                      <w:rPr>
                        <w:lang w:val="de-DE"/>
                      </w:rPr>
                    </w:pPr>
                    <w:r>
                      <w:fldChar w:fldCharType="begin"/>
                    </w:r>
                    <w:r>
                      <w:instrText xml:space="preserve"> STYLEREF  "Date field"  \* MERGEFORMAT </w:instrText>
                    </w:r>
                    <w:r>
                      <w:fldChar w:fldCharType="separate"/>
                    </w:r>
                    <w:r w:rsidR="0035338F">
                      <w:rPr>
                        <w:noProof/>
                      </w:rPr>
                      <w:t>01.12.2016</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35338F">
                      <w:rPr>
                        <w:noProof/>
                      </w:rPr>
                      <w:t>2</w:t>
                    </w:r>
                    <w:r w:rsidR="00490007">
                      <w:fldChar w:fldCharType="end"/>
                    </w:r>
                    <w:r w:rsidR="00490007">
                      <w:t>/</w:t>
                    </w:r>
                    <w:r w:rsidR="0035338F">
                      <w:fldChar w:fldCharType="begin"/>
                    </w:r>
                    <w:r w:rsidR="0035338F">
                      <w:instrText xml:space="preserve"> NUMPAGES   \* MERGEFORMAT </w:instrText>
                    </w:r>
                    <w:r w:rsidR="0035338F">
                      <w:fldChar w:fldCharType="separate"/>
                    </w:r>
                    <w:r w:rsidR="0035338F">
                      <w:rPr>
                        <w:noProof/>
                      </w:rPr>
                      <w:t>3</w:t>
                    </w:r>
                    <w:r w:rsidR="0035338F">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6924B4">
    <w:pPr>
      <w:pStyle w:val="Kopfzeile"/>
    </w:pPr>
    <w:r>
      <w:rPr>
        <w:noProof/>
        <w:lang w:val="de-DE" w:eastAsia="de-DE"/>
      </w:rPr>
      <w:drawing>
        <wp:anchor distT="0" distB="0" distL="114300" distR="114300" simplePos="0" relativeHeight="251673600" behindDoc="1" locked="0" layoutInCell="1" allowOverlap="1" wp14:anchorId="4880026D" wp14:editId="71E9EF5A">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342E0" w:rsidRPr="009342E0">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3.4pt" o:bullet="t">
        <v:imagedata r:id="rId1" o:title="Bullet_blau_RGB_klein"/>
      </v:shape>
    </w:pict>
  </w:numPicBullet>
  <w:numPicBullet w:numPicBulletId="1">
    <w:pict>
      <v:shape id="_x0000_i1027" type="#_x0000_t75" style="width:3.4pt;height:3.4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oNotHyphenateCaps/>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CB"/>
    <w:rsid w:val="00000224"/>
    <w:rsid w:val="00007F11"/>
    <w:rsid w:val="000416B2"/>
    <w:rsid w:val="00041D56"/>
    <w:rsid w:val="00047BF9"/>
    <w:rsid w:val="00056719"/>
    <w:rsid w:val="00056B18"/>
    <w:rsid w:val="0006281E"/>
    <w:rsid w:val="00065D3B"/>
    <w:rsid w:val="00085CC6"/>
    <w:rsid w:val="00093622"/>
    <w:rsid w:val="000A40CF"/>
    <w:rsid w:val="000D4D6C"/>
    <w:rsid w:val="000E478B"/>
    <w:rsid w:val="000F62A0"/>
    <w:rsid w:val="00102C50"/>
    <w:rsid w:val="0013495B"/>
    <w:rsid w:val="001364F9"/>
    <w:rsid w:val="001451D3"/>
    <w:rsid w:val="001861FA"/>
    <w:rsid w:val="001A6CD7"/>
    <w:rsid w:val="001B118B"/>
    <w:rsid w:val="001B5D61"/>
    <w:rsid w:val="001C031C"/>
    <w:rsid w:val="001E7E0A"/>
    <w:rsid w:val="00241A5F"/>
    <w:rsid w:val="00243C72"/>
    <w:rsid w:val="0024653B"/>
    <w:rsid w:val="00250865"/>
    <w:rsid w:val="002632A4"/>
    <w:rsid w:val="00265BD0"/>
    <w:rsid w:val="002C62A1"/>
    <w:rsid w:val="002D1B27"/>
    <w:rsid w:val="002D5344"/>
    <w:rsid w:val="002E2CC9"/>
    <w:rsid w:val="00304A38"/>
    <w:rsid w:val="00323E6F"/>
    <w:rsid w:val="003312D4"/>
    <w:rsid w:val="003412BB"/>
    <w:rsid w:val="003440A4"/>
    <w:rsid w:val="00347759"/>
    <w:rsid w:val="0035338F"/>
    <w:rsid w:val="00374CE1"/>
    <w:rsid w:val="003857D6"/>
    <w:rsid w:val="00394191"/>
    <w:rsid w:val="003A2163"/>
    <w:rsid w:val="003A46CB"/>
    <w:rsid w:val="003B1E7E"/>
    <w:rsid w:val="003B7837"/>
    <w:rsid w:val="003C2CA3"/>
    <w:rsid w:val="003C3F58"/>
    <w:rsid w:val="003C7279"/>
    <w:rsid w:val="003D026C"/>
    <w:rsid w:val="003D041C"/>
    <w:rsid w:val="003D3A03"/>
    <w:rsid w:val="00402E5D"/>
    <w:rsid w:val="004454A2"/>
    <w:rsid w:val="00457F9F"/>
    <w:rsid w:val="00460DDE"/>
    <w:rsid w:val="00466E32"/>
    <w:rsid w:val="00467F61"/>
    <w:rsid w:val="00485FCD"/>
    <w:rsid w:val="00487825"/>
    <w:rsid w:val="00490007"/>
    <w:rsid w:val="004A3F53"/>
    <w:rsid w:val="004C1133"/>
    <w:rsid w:val="004C5BA4"/>
    <w:rsid w:val="004D4520"/>
    <w:rsid w:val="004F1447"/>
    <w:rsid w:val="004F3F4D"/>
    <w:rsid w:val="004F5593"/>
    <w:rsid w:val="004F603C"/>
    <w:rsid w:val="005028EC"/>
    <w:rsid w:val="00502CE9"/>
    <w:rsid w:val="0050798B"/>
    <w:rsid w:val="00515661"/>
    <w:rsid w:val="0052707C"/>
    <w:rsid w:val="00531A23"/>
    <w:rsid w:val="005356B9"/>
    <w:rsid w:val="00544BC4"/>
    <w:rsid w:val="00556640"/>
    <w:rsid w:val="005623E6"/>
    <w:rsid w:val="00563A7F"/>
    <w:rsid w:val="00572FD2"/>
    <w:rsid w:val="00573DC5"/>
    <w:rsid w:val="00584019"/>
    <w:rsid w:val="00584295"/>
    <w:rsid w:val="005851CA"/>
    <w:rsid w:val="00585C45"/>
    <w:rsid w:val="00593146"/>
    <w:rsid w:val="0059570E"/>
    <w:rsid w:val="005A1EF6"/>
    <w:rsid w:val="005B4452"/>
    <w:rsid w:val="005B5ABA"/>
    <w:rsid w:val="005D596D"/>
    <w:rsid w:val="005E7FCB"/>
    <w:rsid w:val="00606EE4"/>
    <w:rsid w:val="00614B87"/>
    <w:rsid w:val="006366E0"/>
    <w:rsid w:val="00655A29"/>
    <w:rsid w:val="006870AC"/>
    <w:rsid w:val="006924B4"/>
    <w:rsid w:val="00693BD1"/>
    <w:rsid w:val="006977CF"/>
    <w:rsid w:val="006C4DE2"/>
    <w:rsid w:val="006D2BC1"/>
    <w:rsid w:val="006D71C1"/>
    <w:rsid w:val="006E5B34"/>
    <w:rsid w:val="007065C5"/>
    <w:rsid w:val="007226A9"/>
    <w:rsid w:val="00741356"/>
    <w:rsid w:val="00743CA5"/>
    <w:rsid w:val="00755DC2"/>
    <w:rsid w:val="0076538B"/>
    <w:rsid w:val="00777040"/>
    <w:rsid w:val="00785030"/>
    <w:rsid w:val="007B6484"/>
    <w:rsid w:val="007B7169"/>
    <w:rsid w:val="007C2073"/>
    <w:rsid w:val="007C45CE"/>
    <w:rsid w:val="007C6F64"/>
    <w:rsid w:val="007D2DC3"/>
    <w:rsid w:val="007E2AB2"/>
    <w:rsid w:val="007F36DC"/>
    <w:rsid w:val="0083279D"/>
    <w:rsid w:val="0085632E"/>
    <w:rsid w:val="00874877"/>
    <w:rsid w:val="0087668E"/>
    <w:rsid w:val="008A7BF0"/>
    <w:rsid w:val="008B3481"/>
    <w:rsid w:val="008B6309"/>
    <w:rsid w:val="008D3DFA"/>
    <w:rsid w:val="008F1C7C"/>
    <w:rsid w:val="008F2FF4"/>
    <w:rsid w:val="009110E9"/>
    <w:rsid w:val="00922375"/>
    <w:rsid w:val="0092247E"/>
    <w:rsid w:val="009342E0"/>
    <w:rsid w:val="009B57CB"/>
    <w:rsid w:val="00A122FC"/>
    <w:rsid w:val="00A16F76"/>
    <w:rsid w:val="00A177FB"/>
    <w:rsid w:val="00A24396"/>
    <w:rsid w:val="00A429FE"/>
    <w:rsid w:val="00A51FAE"/>
    <w:rsid w:val="00A54FA1"/>
    <w:rsid w:val="00A67B90"/>
    <w:rsid w:val="00A70C82"/>
    <w:rsid w:val="00AC49B6"/>
    <w:rsid w:val="00AF4318"/>
    <w:rsid w:val="00AF75F1"/>
    <w:rsid w:val="00B147E8"/>
    <w:rsid w:val="00B56DC4"/>
    <w:rsid w:val="00B579A7"/>
    <w:rsid w:val="00B61DEE"/>
    <w:rsid w:val="00B77C8B"/>
    <w:rsid w:val="00B846E0"/>
    <w:rsid w:val="00B9508B"/>
    <w:rsid w:val="00B97794"/>
    <w:rsid w:val="00BC231C"/>
    <w:rsid w:val="00BD5051"/>
    <w:rsid w:val="00BF057E"/>
    <w:rsid w:val="00BF1BD5"/>
    <w:rsid w:val="00BF5D25"/>
    <w:rsid w:val="00C26942"/>
    <w:rsid w:val="00C3733B"/>
    <w:rsid w:val="00C62F60"/>
    <w:rsid w:val="00C73BC2"/>
    <w:rsid w:val="00C94631"/>
    <w:rsid w:val="00CA1206"/>
    <w:rsid w:val="00CA344E"/>
    <w:rsid w:val="00CB6F07"/>
    <w:rsid w:val="00CC7769"/>
    <w:rsid w:val="00CD4852"/>
    <w:rsid w:val="00CE0E65"/>
    <w:rsid w:val="00CE1ACD"/>
    <w:rsid w:val="00CE6C07"/>
    <w:rsid w:val="00D003F8"/>
    <w:rsid w:val="00D204CD"/>
    <w:rsid w:val="00D335B3"/>
    <w:rsid w:val="00D42B7D"/>
    <w:rsid w:val="00D503B9"/>
    <w:rsid w:val="00D50499"/>
    <w:rsid w:val="00D615EC"/>
    <w:rsid w:val="00D66EA9"/>
    <w:rsid w:val="00D70A35"/>
    <w:rsid w:val="00D8016B"/>
    <w:rsid w:val="00D90483"/>
    <w:rsid w:val="00D92877"/>
    <w:rsid w:val="00D938A5"/>
    <w:rsid w:val="00DA5A54"/>
    <w:rsid w:val="00DC7499"/>
    <w:rsid w:val="00E20A57"/>
    <w:rsid w:val="00E249CE"/>
    <w:rsid w:val="00E27D5E"/>
    <w:rsid w:val="00E3039A"/>
    <w:rsid w:val="00E424C7"/>
    <w:rsid w:val="00E504B2"/>
    <w:rsid w:val="00E52655"/>
    <w:rsid w:val="00E67FF9"/>
    <w:rsid w:val="00E72E7F"/>
    <w:rsid w:val="00E97A69"/>
    <w:rsid w:val="00ED4EEF"/>
    <w:rsid w:val="00EE05F3"/>
    <w:rsid w:val="00EF18DC"/>
    <w:rsid w:val="00F020CA"/>
    <w:rsid w:val="00F11918"/>
    <w:rsid w:val="00F13F4B"/>
    <w:rsid w:val="00F22FC8"/>
    <w:rsid w:val="00F246D2"/>
    <w:rsid w:val="00F31AA9"/>
    <w:rsid w:val="00F4093A"/>
    <w:rsid w:val="00F51811"/>
    <w:rsid w:val="00F5603C"/>
    <w:rsid w:val="00F5624A"/>
    <w:rsid w:val="00F67BFF"/>
    <w:rsid w:val="00F67D84"/>
    <w:rsid w:val="00F91E02"/>
    <w:rsid w:val="00F934AC"/>
    <w:rsid w:val="00F96395"/>
    <w:rsid w:val="00FA79C7"/>
    <w:rsid w:val="00FB20DF"/>
    <w:rsid w:val="00FC116B"/>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gineered.thyssenkrup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BA2F-323B-43DF-B02E-7F867B6B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4079</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2</cp:revision>
  <cp:lastPrinted>2015-11-13T13:51:00Z</cp:lastPrinted>
  <dcterms:created xsi:type="dcterms:W3CDTF">2016-12-02T06:43:00Z</dcterms:created>
  <dcterms:modified xsi:type="dcterms:W3CDTF">2016-12-02T06:43:00Z</dcterms:modified>
</cp:coreProperties>
</file>