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445CB9" w:rsidRDefault="00567796" w:rsidP="00445CB9">
      <w:pPr>
        <w:framePr w:w="2835" w:h="357" w:hRule="exact" w:wrap="notBeside" w:vAnchor="page" w:hAnchor="page" w:x="8245" w:y="4145" w:anchorLock="1"/>
        <w:tabs>
          <w:tab w:val="left" w:pos="2799"/>
        </w:tabs>
        <w:spacing w:line="276" w:lineRule="auto"/>
        <w:rPr>
          <w:szCs w:val="22"/>
        </w:rPr>
      </w:pPr>
      <w:bookmarkStart w:id="0" w:name="_GoBack"/>
      <w:bookmarkEnd w:id="0"/>
      <w:r>
        <w:rPr>
          <w:szCs w:val="22"/>
        </w:rPr>
        <w:t>12</w:t>
      </w:r>
      <w:r w:rsidR="00BA64D1" w:rsidRPr="00445CB9">
        <w:rPr>
          <w:szCs w:val="22"/>
        </w:rPr>
        <w:t xml:space="preserve">. </w:t>
      </w:r>
      <w:r w:rsidR="003C26CD">
        <w:rPr>
          <w:szCs w:val="22"/>
        </w:rPr>
        <w:t>Februar</w:t>
      </w:r>
      <w:r w:rsidR="00BA64D1" w:rsidRPr="00445CB9">
        <w:rPr>
          <w:szCs w:val="22"/>
        </w:rPr>
        <w:t xml:space="preserve"> 2015</w:t>
      </w:r>
    </w:p>
    <w:p w:rsidR="00C626C2" w:rsidRPr="0079435A" w:rsidRDefault="00C626C2" w:rsidP="00C626C2">
      <w:pPr>
        <w:rPr>
          <w:b/>
          <w:szCs w:val="22"/>
        </w:rPr>
      </w:pPr>
      <w:r w:rsidRPr="0079435A">
        <w:rPr>
          <w:b/>
          <w:szCs w:val="22"/>
        </w:rPr>
        <w:t xml:space="preserve">„Jugend forscht“ seit 50 Jahren – Regionalwettbewerb 2015 bei ThyssenKrupp Rasselstein </w:t>
      </w:r>
      <w:r>
        <w:rPr>
          <w:b/>
          <w:szCs w:val="22"/>
        </w:rPr>
        <w:br/>
      </w:r>
      <w:r w:rsidRPr="0079435A">
        <w:rPr>
          <w:b/>
          <w:szCs w:val="22"/>
        </w:rPr>
        <w:t>in Andernach</w:t>
      </w:r>
    </w:p>
    <w:p w:rsidR="00C626C2" w:rsidRDefault="00C626C2" w:rsidP="00C626C2">
      <w:pPr>
        <w:rPr>
          <w:szCs w:val="22"/>
        </w:rPr>
      </w:pPr>
    </w:p>
    <w:p w:rsidR="00C626C2" w:rsidRDefault="00C626C2" w:rsidP="00C626C2">
      <w:pPr>
        <w:spacing w:line="276" w:lineRule="auto"/>
        <w:ind w:right="423"/>
        <w:jc w:val="both"/>
      </w:pPr>
      <w:r>
        <w:rPr>
          <w:szCs w:val="22"/>
        </w:rPr>
        <w:t xml:space="preserve">Junge Menschen an Technik heranzuführen, ist ein besonderes Anliegen von ThyssenKrupp. Deshalb unterstützt der Konzern erneut </w:t>
      </w:r>
      <w:r>
        <w:t>den bundesweit größten und erfolgreichsten Nachwuchswettbewerb im Bereich Technik- und Naturwissenschaften. Bei Jugend forscht tauchen Schüler und Auszubildende ins Abenteuer Forschung ein, gehen auf Entdeckungsreise und erleben die Faszination der Technik. Der Wettbewerb feiert in diesem Jahr Jubiläum und findet zum 50sten Mal statt.</w:t>
      </w:r>
    </w:p>
    <w:p w:rsidR="00C626C2" w:rsidRDefault="00C626C2" w:rsidP="00C626C2">
      <w:pPr>
        <w:spacing w:line="276" w:lineRule="auto"/>
        <w:ind w:right="423"/>
        <w:jc w:val="both"/>
      </w:pPr>
    </w:p>
    <w:p w:rsidR="00C626C2" w:rsidRDefault="00C626C2" w:rsidP="00C626C2">
      <w:r>
        <w:t xml:space="preserve">Gastgeber des Regionalwettbewerbs am 21. Februar ist ThyssenKrupp Rasselstein, erstmals am Standort Andernach. </w:t>
      </w:r>
    </w:p>
    <w:p w:rsidR="00C626C2" w:rsidRDefault="00C626C2" w:rsidP="00C626C2"/>
    <w:p w:rsidR="00C626C2" w:rsidRDefault="00C626C2" w:rsidP="00C626C2">
      <w:r>
        <w:t xml:space="preserve">Unter dem bundesweiten Motto „Es geht wieder los!“ stellen sich in Andernach 68 Teilnehmerinnen und Teilnehmer mit 42 Arbeiten dem Urteil der Juroren. 23 dieser Arbeiten werden von jüngeren Teilnehmern im Juniorsegment „Schüler experimentieren“ präsentiert, 19 Arbeiten zählen zum Wettbewerb „Jugend forscht“ der 15- bis 21-Jährigen. Die meisten Projekte kommen aus dem Fachgebiet Biologie. Der bestplatzierte Wettbewerbsbeitrag nimmt am Wettbewerb um den Landessieger Rheinland-Pfalz teil. Aus den Landesbesten wird schließlich im Bundesfinale der Gesamtsieger ermittelt. </w:t>
      </w:r>
    </w:p>
    <w:p w:rsidR="00C626C2" w:rsidRDefault="00C626C2" w:rsidP="00C626C2"/>
    <w:p w:rsidR="00C626C2" w:rsidRDefault="00C626C2" w:rsidP="00C626C2">
      <w:r>
        <w:t>Für ThyssenKrupp Rasselstein, seit 1983 eines der beiden Patenunternehmen des Regionalwettbe</w:t>
      </w:r>
      <w:r w:rsidR="00567796">
        <w:t>we</w:t>
      </w:r>
      <w:r>
        <w:t>rbs, bietet der Tag die willkommene Gelegenheit, den jungen Forscherinnen und Forschern eine Plattform für ihre Ideen zu bieten und darüber hinaus Begeisterung für Technik und Naturwissenschaften zu unterstützen.</w:t>
      </w:r>
    </w:p>
    <w:p w:rsidR="00C626C2" w:rsidRPr="00CA0E89" w:rsidRDefault="00C626C2" w:rsidP="00C626C2">
      <w:pPr>
        <w:spacing w:line="280" w:lineRule="atLeast"/>
        <w:ind w:right="-85"/>
        <w:jc w:val="both"/>
        <w:outlineLvl w:val="0"/>
        <w:rPr>
          <w:szCs w:val="22"/>
        </w:rPr>
      </w:pPr>
    </w:p>
    <w:p w:rsidR="00C626C2" w:rsidRPr="00CA0E89" w:rsidRDefault="00C626C2" w:rsidP="00C626C2">
      <w:pPr>
        <w:spacing w:line="280" w:lineRule="atLeast"/>
        <w:ind w:right="-85"/>
        <w:jc w:val="both"/>
        <w:outlineLvl w:val="0"/>
        <w:rPr>
          <w:szCs w:val="22"/>
        </w:rPr>
      </w:pPr>
    </w:p>
    <w:p w:rsidR="00C626C2" w:rsidRPr="00B9149D" w:rsidRDefault="00C626C2" w:rsidP="00C626C2">
      <w:pPr>
        <w:spacing w:line="300" w:lineRule="atLeast"/>
        <w:ind w:right="-85"/>
        <w:jc w:val="both"/>
        <w:outlineLvl w:val="0"/>
        <w:rPr>
          <w:b/>
          <w:szCs w:val="22"/>
        </w:rPr>
      </w:pPr>
      <w:r w:rsidRPr="00B9149D">
        <w:rPr>
          <w:b/>
          <w:szCs w:val="22"/>
        </w:rPr>
        <w:t>Ansprechpartner</w:t>
      </w:r>
    </w:p>
    <w:p w:rsidR="00C626C2" w:rsidRPr="00B9149D" w:rsidRDefault="00C626C2" w:rsidP="00C626C2">
      <w:pPr>
        <w:pStyle w:val="Blocksatz"/>
        <w:tabs>
          <w:tab w:val="left" w:pos="708"/>
        </w:tabs>
        <w:spacing w:line="300" w:lineRule="atLeast"/>
        <w:ind w:right="-85"/>
        <w:outlineLvl w:val="0"/>
        <w:rPr>
          <w:rFonts w:ascii="TKTypeRegular" w:hAnsi="TKTypeRegular"/>
          <w:sz w:val="22"/>
          <w:szCs w:val="22"/>
        </w:rPr>
      </w:pPr>
      <w:r>
        <w:rPr>
          <w:rFonts w:ascii="TKTypeRegular" w:hAnsi="TKTypeRegular"/>
          <w:sz w:val="22"/>
          <w:szCs w:val="22"/>
        </w:rPr>
        <w:t>Volker Lauterjung</w:t>
      </w:r>
    </w:p>
    <w:p w:rsidR="00C626C2" w:rsidRDefault="00C626C2" w:rsidP="00C626C2">
      <w:pPr>
        <w:pStyle w:val="Blocksatz"/>
        <w:tabs>
          <w:tab w:val="left" w:pos="708"/>
        </w:tabs>
        <w:spacing w:line="300" w:lineRule="atLeast"/>
        <w:ind w:right="-85"/>
        <w:rPr>
          <w:rFonts w:ascii="TKTypeRegular" w:hAnsi="TKTypeRegular"/>
          <w:sz w:val="22"/>
          <w:szCs w:val="22"/>
        </w:rPr>
      </w:pPr>
      <w:r w:rsidRPr="00B9149D">
        <w:rPr>
          <w:rFonts w:ascii="TKTypeRegular" w:hAnsi="TKTypeRegular"/>
          <w:sz w:val="22"/>
          <w:szCs w:val="22"/>
        </w:rPr>
        <w:t xml:space="preserve">ThyssenKrupp </w:t>
      </w:r>
      <w:r>
        <w:rPr>
          <w:rFonts w:ascii="TKTypeRegular" w:hAnsi="TKTypeRegular"/>
          <w:sz w:val="22"/>
          <w:szCs w:val="22"/>
        </w:rPr>
        <w:t>Rasselstein GmbH</w:t>
      </w:r>
    </w:p>
    <w:p w:rsidR="00C626C2" w:rsidRPr="00B9149D" w:rsidRDefault="00C626C2" w:rsidP="00C626C2">
      <w:pPr>
        <w:pStyle w:val="Blocksatz"/>
        <w:tabs>
          <w:tab w:val="left" w:pos="708"/>
        </w:tabs>
        <w:spacing w:line="300" w:lineRule="atLeast"/>
        <w:ind w:right="-85"/>
        <w:rPr>
          <w:rFonts w:ascii="TKTypeRegular" w:hAnsi="TKTypeRegular"/>
          <w:sz w:val="22"/>
          <w:szCs w:val="22"/>
        </w:rPr>
      </w:pPr>
      <w:r>
        <w:rPr>
          <w:rFonts w:ascii="TKTypeRegular" w:hAnsi="TKTypeRegular"/>
          <w:sz w:val="22"/>
          <w:szCs w:val="22"/>
        </w:rPr>
        <w:t>Kommunikation</w:t>
      </w:r>
    </w:p>
    <w:p w:rsidR="00C626C2" w:rsidRPr="00B9149D" w:rsidRDefault="00C626C2" w:rsidP="00C626C2">
      <w:pPr>
        <w:pStyle w:val="Blocksatz"/>
        <w:tabs>
          <w:tab w:val="left" w:pos="708"/>
        </w:tabs>
        <w:spacing w:line="300" w:lineRule="atLeast"/>
        <w:ind w:right="-85"/>
        <w:rPr>
          <w:rFonts w:ascii="TKTypeRegular" w:hAnsi="TKTypeRegular"/>
          <w:sz w:val="22"/>
          <w:szCs w:val="22"/>
        </w:rPr>
      </w:pPr>
      <w:r w:rsidRPr="00B9149D">
        <w:rPr>
          <w:rFonts w:ascii="TKTypeRegular" w:hAnsi="TKTypeRegular"/>
          <w:sz w:val="22"/>
          <w:szCs w:val="22"/>
        </w:rPr>
        <w:t xml:space="preserve">Telefon: </w:t>
      </w:r>
      <w:r w:rsidRPr="00B9149D">
        <w:rPr>
          <w:rFonts w:ascii="TKTypeRegular" w:hAnsi="TKTypeRegular"/>
          <w:sz w:val="22"/>
          <w:szCs w:val="22"/>
        </w:rPr>
        <w:tab/>
        <w:t>+49 2</w:t>
      </w:r>
      <w:r>
        <w:rPr>
          <w:rFonts w:ascii="TKTypeRegular" w:hAnsi="TKTypeRegular"/>
          <w:sz w:val="22"/>
          <w:szCs w:val="22"/>
        </w:rPr>
        <w:t>632 3097-2875</w:t>
      </w:r>
    </w:p>
    <w:p w:rsidR="00C626C2" w:rsidRPr="00BB4304" w:rsidRDefault="00C626C2" w:rsidP="00C626C2">
      <w:pPr>
        <w:pStyle w:val="Blocksatz"/>
        <w:tabs>
          <w:tab w:val="left" w:pos="708"/>
        </w:tabs>
        <w:spacing w:line="300" w:lineRule="atLeast"/>
        <w:ind w:right="-85"/>
        <w:rPr>
          <w:rFonts w:ascii="TKTypeRegular" w:hAnsi="TKTypeRegular"/>
          <w:sz w:val="22"/>
          <w:szCs w:val="22"/>
          <w:lang w:val="pt-BR"/>
        </w:rPr>
      </w:pPr>
      <w:r w:rsidRPr="00BB4304">
        <w:rPr>
          <w:rFonts w:ascii="TKTypeRegular" w:hAnsi="TKTypeRegular"/>
          <w:sz w:val="22"/>
          <w:szCs w:val="22"/>
          <w:lang w:val="pt-BR"/>
        </w:rPr>
        <w:t>Telefax:</w:t>
      </w:r>
      <w:r w:rsidRPr="00BB4304">
        <w:rPr>
          <w:rFonts w:ascii="TKTypeRegular" w:hAnsi="TKTypeRegular"/>
          <w:sz w:val="22"/>
          <w:szCs w:val="22"/>
          <w:lang w:val="pt-BR"/>
        </w:rPr>
        <w:tab/>
      </w:r>
      <w:r w:rsidRPr="00BB4304">
        <w:rPr>
          <w:rFonts w:ascii="TKTypeRegular" w:hAnsi="TKTypeRegular"/>
          <w:sz w:val="22"/>
          <w:szCs w:val="22"/>
          <w:lang w:val="pt-BR"/>
        </w:rPr>
        <w:tab/>
        <w:t>+49 2</w:t>
      </w:r>
      <w:r>
        <w:rPr>
          <w:rFonts w:ascii="TKTypeRegular" w:hAnsi="TKTypeRegular"/>
          <w:sz w:val="22"/>
          <w:szCs w:val="22"/>
          <w:lang w:val="pt-BR"/>
        </w:rPr>
        <w:t>632 3097-2936</w:t>
      </w:r>
    </w:p>
    <w:p w:rsidR="00C626C2" w:rsidRPr="00BB4304" w:rsidRDefault="00C626C2" w:rsidP="00C626C2">
      <w:pPr>
        <w:pStyle w:val="Blocksatz"/>
        <w:tabs>
          <w:tab w:val="left" w:pos="708"/>
        </w:tabs>
        <w:spacing w:line="300" w:lineRule="atLeast"/>
        <w:ind w:right="-85"/>
        <w:outlineLvl w:val="0"/>
        <w:rPr>
          <w:rFonts w:ascii="TKTypeRegular" w:hAnsi="TKTypeRegular"/>
          <w:sz w:val="22"/>
          <w:szCs w:val="22"/>
          <w:lang w:val="pt-BR"/>
        </w:rPr>
      </w:pPr>
      <w:r w:rsidRPr="00BB4304">
        <w:rPr>
          <w:rFonts w:ascii="TKTypeRegular" w:hAnsi="TKTypeRegular"/>
          <w:sz w:val="22"/>
          <w:szCs w:val="22"/>
          <w:lang w:val="pt-BR"/>
        </w:rPr>
        <w:t xml:space="preserve">E-Mail: </w:t>
      </w:r>
      <w:hyperlink r:id="rId8" w:history="1">
        <w:r w:rsidRPr="00E744F4">
          <w:rPr>
            <w:rStyle w:val="Hyperlink"/>
            <w:rFonts w:ascii="TKTypeRegular" w:hAnsi="TKTypeRegular"/>
            <w:sz w:val="22"/>
            <w:szCs w:val="22"/>
            <w:lang w:val="pt-BR"/>
          </w:rPr>
          <w:t>volker.lauterjung@thyssenkrupp.com</w:t>
        </w:r>
      </w:hyperlink>
    </w:p>
    <w:p w:rsidR="00C626C2" w:rsidRDefault="007F7EA7" w:rsidP="00C626C2">
      <w:pPr>
        <w:spacing w:line="280" w:lineRule="atLeast"/>
        <w:ind w:right="-85"/>
        <w:jc w:val="both"/>
        <w:outlineLvl w:val="0"/>
        <w:rPr>
          <w:sz w:val="23"/>
          <w:szCs w:val="23"/>
        </w:rPr>
      </w:pPr>
      <w:hyperlink r:id="rId9" w:history="1">
        <w:r w:rsidR="00C626C2" w:rsidRPr="00E744F4">
          <w:rPr>
            <w:rStyle w:val="Hyperlink"/>
            <w:szCs w:val="22"/>
          </w:rPr>
          <w:t>www.thyssenkrupp-rasselstein.com</w:t>
        </w:r>
      </w:hyperlink>
    </w:p>
    <w:sectPr w:rsidR="00C626C2" w:rsidSect="00B95399">
      <w:headerReference w:type="default" r:id="rId10"/>
      <w:footerReference w:type="default" r:id="rId11"/>
      <w:headerReference w:type="first" r:id="rId12"/>
      <w:footerReference w:type="first" r:id="rId13"/>
      <w:pgSz w:w="11906" w:h="16838" w:code="9"/>
      <w:pgMar w:top="4820" w:right="851" w:bottom="2155" w:left="709"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6A" w:rsidRDefault="000D696A">
      <w:r>
        <w:separator/>
      </w:r>
    </w:p>
  </w:endnote>
  <w:endnote w:type="continuationSeparator" w:id="0">
    <w:p w:rsidR="000D696A" w:rsidRDefault="000D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TKTypeBold">
    <w:panose1 w:val="020B0806040502020204"/>
    <w:charset w:val="00"/>
    <w:family w:val="swiss"/>
    <w:pitch w:val="variable"/>
    <w:sig w:usb0="A00000AF" w:usb1="5000205B" w:usb2="00000000" w:usb3="00000000" w:csb0="0000009B"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A00000AF" w:usb1="5000205B" w:usb2="00000000" w:usb3="00000000" w:csb0="0000009B" w:csb1="00000000"/>
  </w:font>
  <w:font w:name="TKTypeLogo">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441B37">
      <w:rPr>
        <w:noProof/>
        <w:szCs w:val="22"/>
      </w:rPr>
      <w:instrText>1</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C626C2">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564501">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564501">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441B37"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006464C8">
            <w:rPr>
              <w:rFonts w:ascii="TKTypeMedium" w:hAnsi="TKTypeMedium"/>
              <w:sz w:val="14"/>
              <w:szCs w:val="14"/>
            </w:rPr>
            <w:t>,</w:t>
          </w:r>
          <w:r w:rsidR="003154DD">
            <w:rPr>
              <w:rFonts w:ascii="TKTypeMedium" w:hAnsi="TKTypeMedium"/>
              <w:sz w:val="14"/>
              <w:szCs w:val="14"/>
            </w:rPr>
            <w:t xml:space="preserve"> 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C95661" w:rsidP="004C4B11">
    <w:pPr>
      <w:framePr w:w="534" w:h="335" w:wrap="around" w:vAnchor="page" w:hAnchor="page" w:x="1342" w:y="14275" w:anchorLock="1"/>
      <w:shd w:val="solid" w:color="FFFFFF" w:fill="FFFFFF"/>
      <w:spacing w:line="280" w:lineRule="exact"/>
      <w:rPr>
        <w:szCs w:val="22"/>
      </w:rPr>
    </w:pP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00462FDF">
            <w:rPr>
              <w:rFonts w:ascii="TKTypeMedium" w:hAnsi="TKTypeMedium"/>
              <w:sz w:val="14"/>
              <w:szCs w:val="14"/>
            </w:rPr>
            <w:t xml:space="preserve">, </w:t>
          </w:r>
          <w:r w:rsidR="00B14C49" w:rsidRPr="00C626C2">
            <w:rPr>
              <w:rFonts w:ascii="TKTypeMedium" w:hAnsi="TKTypeMedium"/>
              <w:sz w:val="14"/>
              <w:szCs w:val="14"/>
            </w:rPr>
            <w:t>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6A" w:rsidRDefault="000D696A">
      <w:r>
        <w:separator/>
      </w:r>
    </w:p>
  </w:footnote>
  <w:footnote w:type="continuationSeparator" w:id="0">
    <w:p w:rsidR="000D696A" w:rsidRDefault="000D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C626C2">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C73B0A" w:rsidP="00C73B0A">
          <w:pPr>
            <w:framePr w:vSpace="567" w:wrap="notBeside" w:vAnchor="page" w:hAnchor="page" w:x="8240" w:y="3063" w:anchorLock="1"/>
            <w:tabs>
              <w:tab w:val="left" w:pos="2799"/>
            </w:tabs>
            <w:spacing w:line="200" w:lineRule="exact"/>
            <w:rPr>
              <w:sz w:val="14"/>
              <w:szCs w:val="14"/>
            </w:rPr>
          </w:pPr>
          <w:r>
            <w:rPr>
              <w:sz w:val="14"/>
              <w:szCs w:val="14"/>
            </w:rPr>
            <w:t>03</w:t>
          </w:r>
          <w:r w:rsidR="00564501" w:rsidRPr="00564501">
            <w:rPr>
              <w:sz w:val="14"/>
              <w:szCs w:val="14"/>
            </w:rPr>
            <w:t>.</w:t>
          </w:r>
          <w:r w:rsidR="00BA64D1">
            <w:rPr>
              <w:sz w:val="14"/>
              <w:szCs w:val="14"/>
            </w:rPr>
            <w:t xml:space="preserve"> </w:t>
          </w:r>
          <w:r>
            <w:rPr>
              <w:sz w:val="14"/>
              <w:szCs w:val="14"/>
            </w:rPr>
            <w:t>Februar</w:t>
          </w:r>
          <w:r w:rsidR="00564501" w:rsidRPr="00564501">
            <w:rPr>
              <w:sz w:val="14"/>
              <w:szCs w:val="14"/>
            </w:rPr>
            <w:t xml:space="preserve"> 201</w:t>
          </w:r>
          <w:r w:rsidR="00BA64D1">
            <w:rPr>
              <w:sz w:val="14"/>
              <w:szCs w:val="14"/>
            </w:rPr>
            <w:t>5</w:t>
          </w:r>
        </w:p>
      </w:tc>
    </w:tr>
  </w:tbl>
  <w:p w:rsidR="00C95661" w:rsidRDefault="00762BE2" w:rsidP="00685B69">
    <w:r>
      <w:rPr>
        <w:noProof/>
      </w:rPr>
      <w:drawing>
        <wp:anchor distT="0" distB="0" distL="114300" distR="114300" simplePos="0" relativeHeight="251658240" behindDoc="0" locked="1" layoutInCell="0" allowOverlap="1" wp14:anchorId="5C8BE1C1" wp14:editId="7D6084BF">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62BE2">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7AD19935" wp14:editId="55EF6FD4">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62BE2">
    <w:pPr>
      <w:pStyle w:val="Kopfzeile"/>
    </w:pPr>
    <w:r>
      <w:rPr>
        <w:noProof/>
      </w:rPr>
      <mc:AlternateContent>
        <mc:Choice Requires="wps">
          <w:drawing>
            <wp:anchor distT="0" distB="0" distL="114300" distR="114300" simplePos="0" relativeHeight="251655168" behindDoc="0" locked="1" layoutInCell="1" allowOverlap="1" wp14:anchorId="5DA1EF4E" wp14:editId="286674A1">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62BE2"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7D951089" wp14:editId="5AA865FB">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095D44F3" wp14:editId="5A2ACDEE">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372B1162" wp14:editId="0A46A1FD">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de-DE"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2D1F"/>
    <w:rsid w:val="00003431"/>
    <w:rsid w:val="0001396A"/>
    <w:rsid w:val="00035844"/>
    <w:rsid w:val="00060621"/>
    <w:rsid w:val="000662D4"/>
    <w:rsid w:val="0006700A"/>
    <w:rsid w:val="0007401C"/>
    <w:rsid w:val="000A18B4"/>
    <w:rsid w:val="000A3FF3"/>
    <w:rsid w:val="000B11A4"/>
    <w:rsid w:val="000B4CB8"/>
    <w:rsid w:val="000C29AE"/>
    <w:rsid w:val="000D4C39"/>
    <w:rsid w:val="000D4F58"/>
    <w:rsid w:val="000D696A"/>
    <w:rsid w:val="000E23AE"/>
    <w:rsid w:val="000E2AF9"/>
    <w:rsid w:val="000F6201"/>
    <w:rsid w:val="00100C4D"/>
    <w:rsid w:val="001134F9"/>
    <w:rsid w:val="0011441F"/>
    <w:rsid w:val="00114BCA"/>
    <w:rsid w:val="00115BEC"/>
    <w:rsid w:val="00125872"/>
    <w:rsid w:val="00133A38"/>
    <w:rsid w:val="001400CE"/>
    <w:rsid w:val="001532D2"/>
    <w:rsid w:val="00154CEB"/>
    <w:rsid w:val="0016438F"/>
    <w:rsid w:val="001679CF"/>
    <w:rsid w:val="001868EF"/>
    <w:rsid w:val="0019193A"/>
    <w:rsid w:val="001A0B3C"/>
    <w:rsid w:val="001A0D92"/>
    <w:rsid w:val="001B5EE4"/>
    <w:rsid w:val="001C1373"/>
    <w:rsid w:val="001C2D56"/>
    <w:rsid w:val="001C2F85"/>
    <w:rsid w:val="001D4B9F"/>
    <w:rsid w:val="001D72F1"/>
    <w:rsid w:val="002019CB"/>
    <w:rsid w:val="002063BF"/>
    <w:rsid w:val="002104B7"/>
    <w:rsid w:val="00227B7F"/>
    <w:rsid w:val="00235EAE"/>
    <w:rsid w:val="002426B3"/>
    <w:rsid w:val="00247801"/>
    <w:rsid w:val="002515D6"/>
    <w:rsid w:val="00253578"/>
    <w:rsid w:val="00254E43"/>
    <w:rsid w:val="00260C33"/>
    <w:rsid w:val="00262F96"/>
    <w:rsid w:val="00265F61"/>
    <w:rsid w:val="0027042F"/>
    <w:rsid w:val="00273014"/>
    <w:rsid w:val="00282629"/>
    <w:rsid w:val="00293213"/>
    <w:rsid w:val="002972F8"/>
    <w:rsid w:val="002A07BD"/>
    <w:rsid w:val="002A2F92"/>
    <w:rsid w:val="002A3201"/>
    <w:rsid w:val="002B2872"/>
    <w:rsid w:val="002B3100"/>
    <w:rsid w:val="002B533B"/>
    <w:rsid w:val="002B6593"/>
    <w:rsid w:val="002C14BB"/>
    <w:rsid w:val="002D0F34"/>
    <w:rsid w:val="002D23D4"/>
    <w:rsid w:val="002E4A81"/>
    <w:rsid w:val="002F2CD1"/>
    <w:rsid w:val="002F47B7"/>
    <w:rsid w:val="003025AA"/>
    <w:rsid w:val="00302C2D"/>
    <w:rsid w:val="003111B6"/>
    <w:rsid w:val="003154DD"/>
    <w:rsid w:val="003233A7"/>
    <w:rsid w:val="00327CE2"/>
    <w:rsid w:val="003329B5"/>
    <w:rsid w:val="00332B51"/>
    <w:rsid w:val="003333A7"/>
    <w:rsid w:val="0033433C"/>
    <w:rsid w:val="003467B0"/>
    <w:rsid w:val="00354D7F"/>
    <w:rsid w:val="00374751"/>
    <w:rsid w:val="0037558C"/>
    <w:rsid w:val="00376C21"/>
    <w:rsid w:val="003800DF"/>
    <w:rsid w:val="0038083A"/>
    <w:rsid w:val="00397045"/>
    <w:rsid w:val="003A27B5"/>
    <w:rsid w:val="003A432E"/>
    <w:rsid w:val="003A44DA"/>
    <w:rsid w:val="003B1563"/>
    <w:rsid w:val="003C26CD"/>
    <w:rsid w:val="003D1C38"/>
    <w:rsid w:val="003D20DC"/>
    <w:rsid w:val="003D40F3"/>
    <w:rsid w:val="003E0617"/>
    <w:rsid w:val="003F4477"/>
    <w:rsid w:val="00410D49"/>
    <w:rsid w:val="004205FC"/>
    <w:rsid w:val="00420F6D"/>
    <w:rsid w:val="00440C1B"/>
    <w:rsid w:val="00441B37"/>
    <w:rsid w:val="00445B45"/>
    <w:rsid w:val="00445CB9"/>
    <w:rsid w:val="00450200"/>
    <w:rsid w:val="00456863"/>
    <w:rsid w:val="00457459"/>
    <w:rsid w:val="004601C5"/>
    <w:rsid w:val="00460237"/>
    <w:rsid w:val="004605EE"/>
    <w:rsid w:val="00462B4A"/>
    <w:rsid w:val="00462FDF"/>
    <w:rsid w:val="00484920"/>
    <w:rsid w:val="00491342"/>
    <w:rsid w:val="004970D5"/>
    <w:rsid w:val="004A2A8A"/>
    <w:rsid w:val="004B0579"/>
    <w:rsid w:val="004B22DD"/>
    <w:rsid w:val="004B48E7"/>
    <w:rsid w:val="004B4B5D"/>
    <w:rsid w:val="004C256B"/>
    <w:rsid w:val="004C4B11"/>
    <w:rsid w:val="004C576A"/>
    <w:rsid w:val="004C5BF0"/>
    <w:rsid w:val="004D0285"/>
    <w:rsid w:val="004D0FA6"/>
    <w:rsid w:val="004E0C39"/>
    <w:rsid w:val="004E3A4F"/>
    <w:rsid w:val="004E653A"/>
    <w:rsid w:val="004E663D"/>
    <w:rsid w:val="004F47C2"/>
    <w:rsid w:val="00501268"/>
    <w:rsid w:val="00511810"/>
    <w:rsid w:val="00512CD4"/>
    <w:rsid w:val="00517373"/>
    <w:rsid w:val="00520C42"/>
    <w:rsid w:val="005223C3"/>
    <w:rsid w:val="00544494"/>
    <w:rsid w:val="0055332F"/>
    <w:rsid w:val="00555A11"/>
    <w:rsid w:val="00560886"/>
    <w:rsid w:val="00563708"/>
    <w:rsid w:val="00564501"/>
    <w:rsid w:val="00564FEE"/>
    <w:rsid w:val="00567796"/>
    <w:rsid w:val="005702BE"/>
    <w:rsid w:val="00571BEB"/>
    <w:rsid w:val="00573D0C"/>
    <w:rsid w:val="0057785D"/>
    <w:rsid w:val="00580201"/>
    <w:rsid w:val="00582A29"/>
    <w:rsid w:val="005860E1"/>
    <w:rsid w:val="00592B32"/>
    <w:rsid w:val="0059658F"/>
    <w:rsid w:val="005A0505"/>
    <w:rsid w:val="005A1701"/>
    <w:rsid w:val="005A58A7"/>
    <w:rsid w:val="005C1031"/>
    <w:rsid w:val="005D1852"/>
    <w:rsid w:val="005D2659"/>
    <w:rsid w:val="005D462B"/>
    <w:rsid w:val="005E3F60"/>
    <w:rsid w:val="005F78B3"/>
    <w:rsid w:val="006111E4"/>
    <w:rsid w:val="00624440"/>
    <w:rsid w:val="00626ADC"/>
    <w:rsid w:val="006328AE"/>
    <w:rsid w:val="006464C8"/>
    <w:rsid w:val="006532E1"/>
    <w:rsid w:val="00672EA3"/>
    <w:rsid w:val="0067347B"/>
    <w:rsid w:val="0067783D"/>
    <w:rsid w:val="006837B8"/>
    <w:rsid w:val="0068572E"/>
    <w:rsid w:val="00685B69"/>
    <w:rsid w:val="006A5190"/>
    <w:rsid w:val="006B2ED0"/>
    <w:rsid w:val="006B54F3"/>
    <w:rsid w:val="006C3302"/>
    <w:rsid w:val="006C3E30"/>
    <w:rsid w:val="006C6D13"/>
    <w:rsid w:val="006D4B4C"/>
    <w:rsid w:val="006D7959"/>
    <w:rsid w:val="006E4226"/>
    <w:rsid w:val="006F4B34"/>
    <w:rsid w:val="006F4F7F"/>
    <w:rsid w:val="006F5313"/>
    <w:rsid w:val="007054EB"/>
    <w:rsid w:val="00705A68"/>
    <w:rsid w:val="00713288"/>
    <w:rsid w:val="00714DB2"/>
    <w:rsid w:val="00720599"/>
    <w:rsid w:val="00722160"/>
    <w:rsid w:val="00731C50"/>
    <w:rsid w:val="00734AD0"/>
    <w:rsid w:val="00737989"/>
    <w:rsid w:val="00742502"/>
    <w:rsid w:val="00743CA1"/>
    <w:rsid w:val="0074589A"/>
    <w:rsid w:val="007468B4"/>
    <w:rsid w:val="0075350B"/>
    <w:rsid w:val="00762BE2"/>
    <w:rsid w:val="00763F0F"/>
    <w:rsid w:val="007648BC"/>
    <w:rsid w:val="007709F1"/>
    <w:rsid w:val="007727FC"/>
    <w:rsid w:val="007764B9"/>
    <w:rsid w:val="0078442C"/>
    <w:rsid w:val="00787D06"/>
    <w:rsid w:val="007A009C"/>
    <w:rsid w:val="007A1966"/>
    <w:rsid w:val="007B1DB0"/>
    <w:rsid w:val="007C3EDD"/>
    <w:rsid w:val="007D0B28"/>
    <w:rsid w:val="007D681F"/>
    <w:rsid w:val="007E1B2D"/>
    <w:rsid w:val="007E244A"/>
    <w:rsid w:val="007E2A58"/>
    <w:rsid w:val="007E3674"/>
    <w:rsid w:val="007F351C"/>
    <w:rsid w:val="007F75D6"/>
    <w:rsid w:val="007F7EA7"/>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7B36"/>
    <w:rsid w:val="008D2206"/>
    <w:rsid w:val="008D4A8E"/>
    <w:rsid w:val="008E6909"/>
    <w:rsid w:val="008F2880"/>
    <w:rsid w:val="008F31E4"/>
    <w:rsid w:val="008F4E7C"/>
    <w:rsid w:val="008F6906"/>
    <w:rsid w:val="0090156F"/>
    <w:rsid w:val="00903312"/>
    <w:rsid w:val="009066AA"/>
    <w:rsid w:val="00913395"/>
    <w:rsid w:val="009258E1"/>
    <w:rsid w:val="009263B3"/>
    <w:rsid w:val="009269EE"/>
    <w:rsid w:val="00927A19"/>
    <w:rsid w:val="00933EB7"/>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C543E"/>
    <w:rsid w:val="009C6434"/>
    <w:rsid w:val="009D216C"/>
    <w:rsid w:val="009D5D18"/>
    <w:rsid w:val="009F422B"/>
    <w:rsid w:val="009F5693"/>
    <w:rsid w:val="00A009DE"/>
    <w:rsid w:val="00A00B51"/>
    <w:rsid w:val="00A100AA"/>
    <w:rsid w:val="00A15515"/>
    <w:rsid w:val="00A16E95"/>
    <w:rsid w:val="00A23D66"/>
    <w:rsid w:val="00A33068"/>
    <w:rsid w:val="00A43AD1"/>
    <w:rsid w:val="00A452AE"/>
    <w:rsid w:val="00A47938"/>
    <w:rsid w:val="00A51FEC"/>
    <w:rsid w:val="00A5642F"/>
    <w:rsid w:val="00A57372"/>
    <w:rsid w:val="00A575D2"/>
    <w:rsid w:val="00A64A1E"/>
    <w:rsid w:val="00A73E47"/>
    <w:rsid w:val="00A74DD3"/>
    <w:rsid w:val="00A75DE9"/>
    <w:rsid w:val="00A806F6"/>
    <w:rsid w:val="00A81703"/>
    <w:rsid w:val="00A84863"/>
    <w:rsid w:val="00A8577B"/>
    <w:rsid w:val="00A976D1"/>
    <w:rsid w:val="00AA33EA"/>
    <w:rsid w:val="00AA462D"/>
    <w:rsid w:val="00AA5117"/>
    <w:rsid w:val="00AA6247"/>
    <w:rsid w:val="00AA6E15"/>
    <w:rsid w:val="00AB78CE"/>
    <w:rsid w:val="00AC4E45"/>
    <w:rsid w:val="00AC7DBF"/>
    <w:rsid w:val="00AE0C28"/>
    <w:rsid w:val="00AF16BA"/>
    <w:rsid w:val="00B06CF7"/>
    <w:rsid w:val="00B14C49"/>
    <w:rsid w:val="00B15ED6"/>
    <w:rsid w:val="00B17D8B"/>
    <w:rsid w:val="00B20C2A"/>
    <w:rsid w:val="00B3444B"/>
    <w:rsid w:val="00B3519B"/>
    <w:rsid w:val="00B40290"/>
    <w:rsid w:val="00B44DA2"/>
    <w:rsid w:val="00B46907"/>
    <w:rsid w:val="00B46D4D"/>
    <w:rsid w:val="00B50FE4"/>
    <w:rsid w:val="00B53C4E"/>
    <w:rsid w:val="00B54FF7"/>
    <w:rsid w:val="00B575B0"/>
    <w:rsid w:val="00B63534"/>
    <w:rsid w:val="00B82B1B"/>
    <w:rsid w:val="00B861A6"/>
    <w:rsid w:val="00B95399"/>
    <w:rsid w:val="00BA64D1"/>
    <w:rsid w:val="00BB3044"/>
    <w:rsid w:val="00BB3A3E"/>
    <w:rsid w:val="00BC61B9"/>
    <w:rsid w:val="00BC78BA"/>
    <w:rsid w:val="00BE110B"/>
    <w:rsid w:val="00BE15E3"/>
    <w:rsid w:val="00BF2F61"/>
    <w:rsid w:val="00BF4E20"/>
    <w:rsid w:val="00C01E69"/>
    <w:rsid w:val="00C02F20"/>
    <w:rsid w:val="00C04197"/>
    <w:rsid w:val="00C274A2"/>
    <w:rsid w:val="00C342F9"/>
    <w:rsid w:val="00C35B81"/>
    <w:rsid w:val="00C42E28"/>
    <w:rsid w:val="00C43DB3"/>
    <w:rsid w:val="00C457BF"/>
    <w:rsid w:val="00C50BD7"/>
    <w:rsid w:val="00C54EF9"/>
    <w:rsid w:val="00C626C2"/>
    <w:rsid w:val="00C63EEB"/>
    <w:rsid w:val="00C64712"/>
    <w:rsid w:val="00C72A6B"/>
    <w:rsid w:val="00C72AAA"/>
    <w:rsid w:val="00C72EE8"/>
    <w:rsid w:val="00C732FB"/>
    <w:rsid w:val="00C734FA"/>
    <w:rsid w:val="00C73B0A"/>
    <w:rsid w:val="00C7542A"/>
    <w:rsid w:val="00C808CB"/>
    <w:rsid w:val="00C834B7"/>
    <w:rsid w:val="00C9081B"/>
    <w:rsid w:val="00C95661"/>
    <w:rsid w:val="00CA0D41"/>
    <w:rsid w:val="00CA0E89"/>
    <w:rsid w:val="00CA26B4"/>
    <w:rsid w:val="00CA599F"/>
    <w:rsid w:val="00CB5BAA"/>
    <w:rsid w:val="00CC22E5"/>
    <w:rsid w:val="00CC2596"/>
    <w:rsid w:val="00CC38F5"/>
    <w:rsid w:val="00CC6546"/>
    <w:rsid w:val="00CD0332"/>
    <w:rsid w:val="00CD2C32"/>
    <w:rsid w:val="00CD3D16"/>
    <w:rsid w:val="00CD6A3C"/>
    <w:rsid w:val="00CE3ACA"/>
    <w:rsid w:val="00CE7CDD"/>
    <w:rsid w:val="00D00509"/>
    <w:rsid w:val="00D00831"/>
    <w:rsid w:val="00D061ED"/>
    <w:rsid w:val="00D105DC"/>
    <w:rsid w:val="00D175BE"/>
    <w:rsid w:val="00D21AD2"/>
    <w:rsid w:val="00D2290A"/>
    <w:rsid w:val="00D240D9"/>
    <w:rsid w:val="00D44605"/>
    <w:rsid w:val="00D44E94"/>
    <w:rsid w:val="00D60C9A"/>
    <w:rsid w:val="00D60D29"/>
    <w:rsid w:val="00D77934"/>
    <w:rsid w:val="00D812DD"/>
    <w:rsid w:val="00D8336E"/>
    <w:rsid w:val="00D85A52"/>
    <w:rsid w:val="00D9052B"/>
    <w:rsid w:val="00D9083E"/>
    <w:rsid w:val="00D9455E"/>
    <w:rsid w:val="00DD267E"/>
    <w:rsid w:val="00DE3843"/>
    <w:rsid w:val="00E04608"/>
    <w:rsid w:val="00E107D1"/>
    <w:rsid w:val="00E236CD"/>
    <w:rsid w:val="00E317C8"/>
    <w:rsid w:val="00E32AE8"/>
    <w:rsid w:val="00E34E7C"/>
    <w:rsid w:val="00E35C73"/>
    <w:rsid w:val="00E37F75"/>
    <w:rsid w:val="00E41BDA"/>
    <w:rsid w:val="00E46EB8"/>
    <w:rsid w:val="00E52B70"/>
    <w:rsid w:val="00E60746"/>
    <w:rsid w:val="00E77E14"/>
    <w:rsid w:val="00E813A1"/>
    <w:rsid w:val="00E85C31"/>
    <w:rsid w:val="00E866A8"/>
    <w:rsid w:val="00E9786D"/>
    <w:rsid w:val="00EA1964"/>
    <w:rsid w:val="00EA33C9"/>
    <w:rsid w:val="00EA6200"/>
    <w:rsid w:val="00EB7001"/>
    <w:rsid w:val="00EE0AE4"/>
    <w:rsid w:val="00F023AF"/>
    <w:rsid w:val="00F056FB"/>
    <w:rsid w:val="00F0662D"/>
    <w:rsid w:val="00F167B0"/>
    <w:rsid w:val="00F17CC7"/>
    <w:rsid w:val="00F2083E"/>
    <w:rsid w:val="00F26F31"/>
    <w:rsid w:val="00F305F0"/>
    <w:rsid w:val="00F334DC"/>
    <w:rsid w:val="00F33947"/>
    <w:rsid w:val="00F403B7"/>
    <w:rsid w:val="00F41611"/>
    <w:rsid w:val="00F46D38"/>
    <w:rsid w:val="00F53B6C"/>
    <w:rsid w:val="00F57014"/>
    <w:rsid w:val="00F615E9"/>
    <w:rsid w:val="00F61BE9"/>
    <w:rsid w:val="00F654A5"/>
    <w:rsid w:val="00F65650"/>
    <w:rsid w:val="00F77959"/>
    <w:rsid w:val="00F84D7A"/>
    <w:rsid w:val="00F9057F"/>
    <w:rsid w:val="00FA2D29"/>
    <w:rsid w:val="00FA3F2F"/>
    <w:rsid w:val="00FA4972"/>
    <w:rsid w:val="00FA5316"/>
    <w:rsid w:val="00FB2682"/>
    <w:rsid w:val="00FB59B3"/>
    <w:rsid w:val="00FC39B4"/>
    <w:rsid w:val="00FC4F42"/>
    <w:rsid w:val="00FD1CFA"/>
    <w:rsid w:val="00FD3CC5"/>
    <w:rsid w:val="00FD6F7A"/>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 w:type="paragraph" w:styleId="KeinLeerraum">
    <w:name w:val="No Spacing"/>
    <w:uiPriority w:val="1"/>
    <w:qFormat/>
    <w:rsid w:val="00A75DE9"/>
    <w:rPr>
      <w:rFonts w:ascii="TKTypeRegular" w:hAnsi="TKTypeRegula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 w:type="paragraph" w:styleId="KeinLeerraum">
    <w:name w:val="No Spacing"/>
    <w:uiPriority w:val="1"/>
    <w:qFormat/>
    <w:rsid w:val="00A75DE9"/>
    <w:rPr>
      <w:rFonts w:ascii="TKTypeRegular" w:hAnsi="TKType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lauterjung@thyssenkrup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rasselstei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807A-6BAE-488B-B171-95C476D8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1</Pages>
  <Words>220</Words>
  <Characters>1686</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1903</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2</cp:revision>
  <cp:lastPrinted>2015-02-12T09:59:00Z</cp:lastPrinted>
  <dcterms:created xsi:type="dcterms:W3CDTF">2015-02-13T15:16:00Z</dcterms:created>
  <dcterms:modified xsi:type="dcterms:W3CDTF">2015-02-13T15:16:00Z</dcterms:modified>
</cp:coreProperties>
</file>